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0" w:type="dxa"/>
        <w:tblLayout w:type="fixed"/>
        <w:tblCellMar>
          <w:left w:w="120" w:type="dxa"/>
          <w:right w:w="120" w:type="dxa"/>
        </w:tblCellMar>
        <w:tblLook w:val="0000" w:firstRow="0" w:lastRow="0" w:firstColumn="0" w:lastColumn="0" w:noHBand="0" w:noVBand="0"/>
      </w:tblPr>
      <w:tblGrid>
        <w:gridCol w:w="1800"/>
        <w:gridCol w:w="4050"/>
        <w:gridCol w:w="3510"/>
      </w:tblGrid>
      <w:tr w:rsidR="007F32AF" w:rsidRPr="00726056" w14:paraId="5D1B3AE3" w14:textId="77777777" w:rsidTr="007B3D8F">
        <w:trPr>
          <w:cantSplit/>
        </w:trPr>
        <w:tc>
          <w:tcPr>
            <w:tcW w:w="1800" w:type="dxa"/>
            <w:tcBorders>
              <w:top w:val="nil"/>
              <w:left w:val="nil"/>
              <w:bottom w:val="nil"/>
              <w:right w:val="nil"/>
            </w:tcBorders>
          </w:tcPr>
          <w:p w14:paraId="200E9538" w14:textId="77777777" w:rsidR="007F32AF" w:rsidRPr="00726056" w:rsidRDefault="007F32AF" w:rsidP="007B3D8F">
            <w:pPr>
              <w:jc w:val="center"/>
              <w:rPr>
                <w:sz w:val="20"/>
              </w:rPr>
            </w:pPr>
          </w:p>
          <w:p w14:paraId="6A7F5849" w14:textId="77777777" w:rsidR="007F32AF" w:rsidRPr="00726056" w:rsidRDefault="007F32AF" w:rsidP="007B3D8F">
            <w:pPr>
              <w:jc w:val="center"/>
              <w:rPr>
                <w:rFonts w:ascii="Arial" w:hAnsi="Arial" w:cs="Arial"/>
                <w:color w:val="0000B2"/>
                <w:sz w:val="20"/>
              </w:rPr>
            </w:pPr>
            <w:r>
              <w:rPr>
                <w:rFonts w:ascii="Arial" w:hAnsi="Arial"/>
                <w:noProof/>
                <w:color w:val="000000"/>
                <w:sz w:val="32"/>
              </w:rPr>
              <w:drawing>
                <wp:inline distT="0" distB="0" distL="0" distR="0" wp14:anchorId="6D51B3C2" wp14:editId="7269FD21">
                  <wp:extent cx="914400" cy="890905"/>
                  <wp:effectExtent l="19050" t="0" r="0" b="0"/>
                  <wp:docPr id="2" name="Picture 1"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8" cstate="print"/>
                          <a:srcRect/>
                          <a:stretch>
                            <a:fillRect/>
                          </a:stretch>
                        </pic:blipFill>
                        <pic:spPr bwMode="auto">
                          <a:xfrm>
                            <a:off x="0" y="0"/>
                            <a:ext cx="914400" cy="890905"/>
                          </a:xfrm>
                          <a:prstGeom prst="rect">
                            <a:avLst/>
                          </a:prstGeom>
                          <a:noFill/>
                          <a:ln w="9525">
                            <a:noFill/>
                            <a:miter lim="800000"/>
                            <a:headEnd/>
                            <a:tailEnd/>
                          </a:ln>
                        </pic:spPr>
                      </pic:pic>
                    </a:graphicData>
                  </a:graphic>
                </wp:inline>
              </w:drawing>
            </w:r>
          </w:p>
          <w:p w14:paraId="326AEBA5" w14:textId="77777777" w:rsidR="007F32AF" w:rsidRPr="00726056" w:rsidRDefault="007F32AF" w:rsidP="007B3D8F">
            <w:pPr>
              <w:jc w:val="center"/>
              <w:rPr>
                <w:rFonts w:ascii="Arial" w:hAnsi="Arial" w:cs="Arial"/>
                <w:b/>
                <w:bCs/>
                <w:color w:val="0000B2"/>
                <w:sz w:val="20"/>
              </w:rPr>
            </w:pPr>
          </w:p>
        </w:tc>
        <w:tc>
          <w:tcPr>
            <w:tcW w:w="7560" w:type="dxa"/>
            <w:gridSpan w:val="2"/>
            <w:tcBorders>
              <w:top w:val="nil"/>
              <w:left w:val="nil"/>
              <w:bottom w:val="nil"/>
              <w:right w:val="nil"/>
            </w:tcBorders>
          </w:tcPr>
          <w:p w14:paraId="4ADEEDD6" w14:textId="77777777" w:rsidR="007F32AF" w:rsidRDefault="007F32AF" w:rsidP="007B3D8F">
            <w:pPr>
              <w:jc w:val="center"/>
              <w:rPr>
                <w:rFonts w:ascii="Arial" w:hAnsi="Arial" w:cs="Arial"/>
                <w:b/>
                <w:bCs/>
                <w:color w:val="0000B2"/>
                <w:sz w:val="20"/>
              </w:rPr>
            </w:pPr>
          </w:p>
          <w:p w14:paraId="6556FCDD" w14:textId="77777777" w:rsidR="007F32AF" w:rsidRDefault="007F32AF" w:rsidP="007B3D8F">
            <w:pPr>
              <w:jc w:val="center"/>
              <w:rPr>
                <w:rFonts w:ascii="Arial" w:hAnsi="Arial" w:cs="Arial"/>
                <w:b/>
                <w:bCs/>
                <w:color w:val="0000B2"/>
                <w:sz w:val="20"/>
              </w:rPr>
            </w:pPr>
          </w:p>
          <w:p w14:paraId="552F871F" w14:textId="77777777" w:rsidR="007F32AF" w:rsidRDefault="007F32AF" w:rsidP="007B3D8F">
            <w:pPr>
              <w:jc w:val="center"/>
              <w:rPr>
                <w:rFonts w:ascii="Arial" w:hAnsi="Arial" w:cs="Arial"/>
                <w:color w:val="0000B2"/>
                <w:sz w:val="20"/>
              </w:rPr>
            </w:pPr>
            <w:r>
              <w:rPr>
                <w:rFonts w:ascii="Arial" w:hAnsi="Arial" w:cs="Arial"/>
                <w:b/>
                <w:bCs/>
                <w:color w:val="0000B2"/>
                <w:sz w:val="20"/>
              </w:rPr>
              <w:t xml:space="preserve">UNITED </w:t>
            </w:r>
            <w:r w:rsidRPr="00726056">
              <w:rPr>
                <w:rFonts w:ascii="Arial" w:hAnsi="Arial" w:cs="Arial"/>
                <w:b/>
                <w:bCs/>
                <w:color w:val="0000B2"/>
                <w:sz w:val="20"/>
              </w:rPr>
              <w:t xml:space="preserve">STATES ENVIRONMENTAL </w:t>
            </w:r>
            <w:smartTag w:uri="urn:schemas-microsoft-com:office:smarttags" w:element="City">
              <w:r w:rsidRPr="00726056">
                <w:rPr>
                  <w:rFonts w:ascii="Arial" w:hAnsi="Arial" w:cs="Arial"/>
                  <w:b/>
                  <w:bCs/>
                  <w:color w:val="0000B2"/>
                  <w:sz w:val="20"/>
                </w:rPr>
                <w:t>PROTECTION AGENCY</w:t>
              </w:r>
            </w:smartTag>
            <w:r w:rsidRPr="00726056">
              <w:rPr>
                <w:rFonts w:ascii="Arial" w:hAnsi="Arial" w:cs="Arial"/>
                <w:color w:val="0000B2"/>
                <w:sz w:val="20"/>
              </w:rPr>
              <w:t xml:space="preserve"> </w:t>
            </w:r>
          </w:p>
          <w:p w14:paraId="1B5F8C20" w14:textId="77777777" w:rsidR="007F32AF" w:rsidRPr="00726056" w:rsidRDefault="007F32AF" w:rsidP="007B3D8F">
            <w:pPr>
              <w:jc w:val="center"/>
              <w:rPr>
                <w:rFonts w:ascii="Arial" w:hAnsi="Arial" w:cs="Arial"/>
                <w:sz w:val="20"/>
              </w:rPr>
            </w:pPr>
            <w:smartTag w:uri="urn:schemas-microsoft-com:office:smarttags" w:element="place">
              <w:smartTag w:uri="urn:schemas-microsoft-com:office:smarttags" w:element="City">
                <w:r w:rsidRPr="00726056">
                  <w:rPr>
                    <w:rFonts w:ascii="Arial" w:hAnsi="Arial" w:cs="Arial"/>
                    <w:color w:val="0000B2"/>
                    <w:sz w:val="20"/>
                  </w:rPr>
                  <w:t>WASHINGTON</w:t>
                </w:r>
              </w:smartTag>
              <w:r w:rsidRPr="00726056">
                <w:rPr>
                  <w:rFonts w:ascii="Arial" w:hAnsi="Arial" w:cs="Arial"/>
                  <w:color w:val="0000B2"/>
                  <w:sz w:val="20"/>
                </w:rPr>
                <w:t xml:space="preserve">, </w:t>
              </w:r>
              <w:smartTag w:uri="urn:schemas-microsoft-com:office:smarttags" w:element="State">
                <w:r w:rsidRPr="00726056">
                  <w:rPr>
                    <w:rFonts w:ascii="Arial" w:hAnsi="Arial" w:cs="Arial"/>
                    <w:color w:val="0000B2"/>
                    <w:sz w:val="20"/>
                  </w:rPr>
                  <w:t>D.C.</w:t>
                </w:r>
              </w:smartTag>
            </w:smartTag>
            <w:r w:rsidRPr="00726056">
              <w:rPr>
                <w:rFonts w:ascii="Arial" w:hAnsi="Arial" w:cs="Arial"/>
                <w:color w:val="0000B2"/>
                <w:sz w:val="20"/>
              </w:rPr>
              <w:t xml:space="preserve">  20460</w:t>
            </w:r>
          </w:p>
          <w:p w14:paraId="3B8F75A0" w14:textId="77777777" w:rsidR="007F32AF" w:rsidRDefault="007F32AF" w:rsidP="007B3D8F">
            <w:pPr>
              <w:jc w:val="center"/>
              <w:rPr>
                <w:rFonts w:ascii="Arial" w:hAnsi="Arial" w:cs="Arial"/>
                <w:sz w:val="20"/>
              </w:rPr>
            </w:pPr>
          </w:p>
          <w:p w14:paraId="09A05857" w14:textId="77777777" w:rsidR="007F32AF" w:rsidRPr="00726056" w:rsidRDefault="007F32AF" w:rsidP="007B3D8F">
            <w:pPr>
              <w:jc w:val="center"/>
              <w:rPr>
                <w:rFonts w:ascii="Arial" w:hAnsi="Arial" w:cs="Arial"/>
                <w:sz w:val="20"/>
              </w:rPr>
            </w:pPr>
          </w:p>
          <w:p w14:paraId="6769B395" w14:textId="77777777" w:rsidR="007F32AF" w:rsidRPr="00726056" w:rsidRDefault="007F32AF" w:rsidP="007B3D8F">
            <w:pPr>
              <w:spacing w:after="57"/>
              <w:jc w:val="center"/>
              <w:rPr>
                <w:sz w:val="20"/>
              </w:rPr>
            </w:pPr>
          </w:p>
        </w:tc>
      </w:tr>
      <w:tr w:rsidR="007F32AF" w:rsidRPr="00696544" w14:paraId="360BC477" w14:textId="77777777" w:rsidTr="007B3D8F">
        <w:trPr>
          <w:cantSplit/>
          <w:trHeight w:val="549"/>
        </w:trPr>
        <w:tc>
          <w:tcPr>
            <w:tcW w:w="5850" w:type="dxa"/>
            <w:gridSpan w:val="2"/>
            <w:tcBorders>
              <w:top w:val="nil"/>
              <w:left w:val="nil"/>
              <w:bottom w:val="nil"/>
              <w:right w:val="nil"/>
            </w:tcBorders>
          </w:tcPr>
          <w:p w14:paraId="78AEF58C" w14:textId="77777777" w:rsidR="007F32AF" w:rsidRDefault="007F32AF" w:rsidP="007B3D8F">
            <w:pPr>
              <w:spacing w:before="120" w:after="57"/>
              <w:jc w:val="center"/>
            </w:pPr>
          </w:p>
        </w:tc>
        <w:tc>
          <w:tcPr>
            <w:tcW w:w="3510" w:type="dxa"/>
            <w:tcBorders>
              <w:top w:val="nil"/>
              <w:left w:val="nil"/>
              <w:bottom w:val="nil"/>
              <w:right w:val="nil"/>
            </w:tcBorders>
            <w:vAlign w:val="center"/>
          </w:tcPr>
          <w:p w14:paraId="6B0EE8F4" w14:textId="77777777" w:rsidR="007F32AF" w:rsidRPr="00696544" w:rsidRDefault="007F32AF" w:rsidP="007B3D8F">
            <w:pPr>
              <w:spacing w:before="120"/>
              <w:jc w:val="center"/>
              <w:rPr>
                <w:rFonts w:ascii="Arial" w:hAnsi="Arial" w:cs="Arial"/>
                <w:color w:val="0000B2"/>
                <w:sz w:val="20"/>
              </w:rPr>
            </w:pPr>
            <w:r w:rsidRPr="00726056">
              <w:rPr>
                <w:rFonts w:ascii="Arial" w:hAnsi="Arial" w:cs="Arial"/>
                <w:color w:val="0000B2"/>
                <w:sz w:val="20"/>
              </w:rPr>
              <w:t xml:space="preserve">OFFICE OF </w:t>
            </w:r>
            <w:r>
              <w:rPr>
                <w:rFonts w:ascii="Arial" w:hAnsi="Arial" w:cs="Arial"/>
                <w:color w:val="0000B2"/>
                <w:sz w:val="20"/>
              </w:rPr>
              <w:t>ENFORC</w:t>
            </w:r>
            <w:r w:rsidR="007B6469">
              <w:rPr>
                <w:rFonts w:ascii="Arial" w:hAnsi="Arial" w:cs="Arial"/>
                <w:color w:val="0000B2"/>
                <w:sz w:val="20"/>
              </w:rPr>
              <w:t>E</w:t>
            </w:r>
            <w:r>
              <w:rPr>
                <w:rFonts w:ascii="Arial" w:hAnsi="Arial" w:cs="Arial"/>
                <w:color w:val="0000B2"/>
                <w:sz w:val="20"/>
              </w:rPr>
              <w:t>MENT AND COMPLIANCE ASSURANCE</w:t>
            </w:r>
          </w:p>
        </w:tc>
      </w:tr>
    </w:tbl>
    <w:p w14:paraId="184ED683" w14:textId="77777777" w:rsidR="00717971" w:rsidRDefault="00717971">
      <w:pPr>
        <w:widowControl w:val="0"/>
      </w:pPr>
    </w:p>
    <w:p w14:paraId="776CB4C1" w14:textId="027C71E8" w:rsidR="00717971" w:rsidRPr="00717971" w:rsidRDefault="00717971" w:rsidP="00717971">
      <w:pPr>
        <w:rPr>
          <w:rFonts w:ascii="Calibri" w:eastAsia="Calibri" w:hAnsi="Calibri"/>
          <w:sz w:val="22"/>
          <w:szCs w:val="22"/>
        </w:rPr>
      </w:pPr>
      <w:r w:rsidRPr="00717971">
        <w:rPr>
          <w:rFonts w:ascii="Calibri" w:eastAsia="Calibri" w:hAnsi="Calibri"/>
          <w:b/>
          <w:color w:val="FF0000"/>
          <w:sz w:val="22"/>
          <w:szCs w:val="22"/>
        </w:rPr>
        <w:t>ACTION REQUESTED:</w:t>
      </w:r>
      <w:r w:rsidRPr="00717971">
        <w:rPr>
          <w:rFonts w:ascii="Calibri" w:eastAsia="Calibri" w:hAnsi="Calibri"/>
          <w:sz w:val="22"/>
          <w:szCs w:val="22"/>
        </w:rPr>
        <w:t xml:space="preserve"> Comments on this </w:t>
      </w:r>
      <w:r>
        <w:rPr>
          <w:rFonts w:ascii="Calibri" w:eastAsia="Calibri" w:hAnsi="Calibri"/>
          <w:sz w:val="22"/>
          <w:szCs w:val="22"/>
        </w:rPr>
        <w:t xml:space="preserve">draft memorandum </w:t>
      </w:r>
      <w:bookmarkStart w:id="0" w:name="_GoBack"/>
      <w:bookmarkEnd w:id="0"/>
      <w:r w:rsidRPr="00717971">
        <w:rPr>
          <w:rFonts w:ascii="Calibri" w:eastAsia="Calibri" w:hAnsi="Calibri"/>
          <w:sz w:val="22"/>
          <w:szCs w:val="22"/>
        </w:rPr>
        <w:t>should be sent to Carey Johnston (</w:t>
      </w:r>
      <w:hyperlink r:id="rId9" w:history="1">
        <w:r w:rsidRPr="00717971">
          <w:rPr>
            <w:rFonts w:ascii="Calibri" w:eastAsia="Calibri" w:hAnsi="Calibri"/>
            <w:color w:val="0563C1"/>
            <w:sz w:val="22"/>
            <w:szCs w:val="22"/>
            <w:u w:val="single"/>
          </w:rPr>
          <w:t>johnston.carey@epa.gov</w:t>
        </w:r>
      </w:hyperlink>
      <w:r w:rsidRPr="00717971">
        <w:rPr>
          <w:rFonts w:ascii="Calibri" w:eastAsia="Calibri" w:hAnsi="Calibri"/>
          <w:sz w:val="22"/>
          <w:szCs w:val="22"/>
        </w:rPr>
        <w:t xml:space="preserve">) no later than </w:t>
      </w:r>
      <w:r w:rsidRPr="00717971">
        <w:rPr>
          <w:rFonts w:ascii="Calibri" w:eastAsia="Calibri" w:hAnsi="Calibri"/>
          <w:sz w:val="22"/>
          <w:szCs w:val="22"/>
          <w:u w:val="single"/>
        </w:rPr>
        <w:t>5 December 2016</w:t>
      </w:r>
      <w:r w:rsidRPr="00717971">
        <w:rPr>
          <w:rFonts w:ascii="Calibri" w:eastAsia="Calibri" w:hAnsi="Calibri"/>
          <w:sz w:val="22"/>
          <w:szCs w:val="22"/>
        </w:rPr>
        <w:t>.</w:t>
      </w:r>
    </w:p>
    <w:p w14:paraId="7C7CCB64" w14:textId="77777777" w:rsidR="0084080B" w:rsidRDefault="002D4B4B">
      <w:pPr>
        <w:widowControl w:val="0"/>
      </w:pPr>
      <w:r>
        <w:fldChar w:fldCharType="begin"/>
      </w:r>
      <w:r w:rsidR="0084080B">
        <w:instrText xml:space="preserve"> SEQ CHAPTER \h \r 1</w:instrText>
      </w:r>
      <w:r>
        <w:fldChar w:fldCharType="end"/>
      </w:r>
    </w:p>
    <w:p w14:paraId="6D0A6AB4" w14:textId="77777777" w:rsidR="0084080B" w:rsidRPr="000856CA" w:rsidRDefault="000856CA">
      <w:pPr>
        <w:widowControl w:val="0"/>
        <w:rPr>
          <w:b/>
          <w:u w:val="single"/>
        </w:rPr>
      </w:pPr>
      <w:r w:rsidRPr="000856CA">
        <w:rPr>
          <w:b/>
          <w:u w:val="single"/>
        </w:rPr>
        <w:t>MEMORANDUM</w:t>
      </w:r>
    </w:p>
    <w:p w14:paraId="43AC7A9E" w14:textId="77777777" w:rsidR="000856CA" w:rsidRDefault="000856CA">
      <w:pPr>
        <w:widowControl w:val="0"/>
      </w:pPr>
    </w:p>
    <w:p w14:paraId="4AE8E9B9" w14:textId="2D8263CD" w:rsidR="000856CA" w:rsidRDefault="000856CA">
      <w:pPr>
        <w:widowControl w:val="0"/>
      </w:pPr>
      <w:r>
        <w:t>SUBJECT:</w:t>
      </w:r>
      <w:r w:rsidR="004869CC">
        <w:tab/>
        <w:t xml:space="preserve">Implementation Guidance </w:t>
      </w:r>
      <w:r w:rsidR="002A7AE6">
        <w:t xml:space="preserve">for Select </w:t>
      </w:r>
      <w:r w:rsidR="0041518A">
        <w:t>ICIS-</w:t>
      </w:r>
      <w:r w:rsidR="002A7AE6">
        <w:t>NPDES Data Elements</w:t>
      </w:r>
    </w:p>
    <w:p w14:paraId="645B2E61" w14:textId="77777777" w:rsidR="002A7AE6" w:rsidRDefault="002A7AE6">
      <w:pPr>
        <w:widowControl w:val="0"/>
      </w:pPr>
    </w:p>
    <w:p w14:paraId="190F26B8" w14:textId="77777777" w:rsidR="000856CA" w:rsidRDefault="000856CA" w:rsidP="004869CC">
      <w:pPr>
        <w:widowControl w:val="0"/>
        <w:tabs>
          <w:tab w:val="left" w:pos="1440"/>
        </w:tabs>
      </w:pPr>
      <w:r>
        <w:t xml:space="preserve">FROM: </w:t>
      </w:r>
      <w:r w:rsidR="004869CC">
        <w:tab/>
        <w:t>David Hindin, Director</w:t>
      </w:r>
    </w:p>
    <w:p w14:paraId="754D0E66" w14:textId="77777777" w:rsidR="004869CC" w:rsidRDefault="004869CC" w:rsidP="004869CC">
      <w:pPr>
        <w:widowControl w:val="0"/>
        <w:tabs>
          <w:tab w:val="left" w:pos="1440"/>
        </w:tabs>
      </w:pPr>
      <w:r>
        <w:tab/>
        <w:t>Office of Compliance</w:t>
      </w:r>
    </w:p>
    <w:p w14:paraId="282E49AE" w14:textId="77777777" w:rsidR="004869CC" w:rsidRDefault="004869CC" w:rsidP="004869CC">
      <w:pPr>
        <w:widowControl w:val="0"/>
        <w:tabs>
          <w:tab w:val="left" w:pos="1440"/>
        </w:tabs>
      </w:pPr>
      <w:r>
        <w:tab/>
        <w:t>U.S. EPA, Washington D.C.</w:t>
      </w:r>
    </w:p>
    <w:p w14:paraId="12CD5DF9" w14:textId="77777777" w:rsidR="000856CA" w:rsidRDefault="000856CA">
      <w:pPr>
        <w:widowControl w:val="0"/>
      </w:pPr>
    </w:p>
    <w:p w14:paraId="6B9AD10D" w14:textId="77777777" w:rsidR="000856CA" w:rsidRDefault="004869CC" w:rsidP="002A7AE6">
      <w:pPr>
        <w:widowControl w:val="0"/>
        <w:ind w:left="1440" w:hanging="1440"/>
      </w:pPr>
      <w:r>
        <w:t xml:space="preserve">TO: </w:t>
      </w:r>
      <w:r w:rsidR="002A7AE6">
        <w:tab/>
      </w:r>
      <w:r w:rsidR="002A7AE6" w:rsidRPr="002A7AE6">
        <w:t xml:space="preserve">EPA Regional and Authorized State NPDES Permit and Enforcement Coordinators and </w:t>
      </w:r>
      <w:r w:rsidR="002A7AE6">
        <w:t xml:space="preserve">State </w:t>
      </w:r>
      <w:r w:rsidR="002A7AE6" w:rsidRPr="002A7AE6">
        <w:t>Information Technology Staff</w:t>
      </w:r>
    </w:p>
    <w:p w14:paraId="2D52D762" w14:textId="77777777" w:rsidR="004869CC" w:rsidRDefault="004869CC">
      <w:pPr>
        <w:widowControl w:val="0"/>
      </w:pPr>
    </w:p>
    <w:p w14:paraId="5E1DA796" w14:textId="77777777" w:rsidR="006E7DB6" w:rsidRPr="006E7DB6" w:rsidRDefault="006E7DB6">
      <w:pPr>
        <w:widowControl w:val="0"/>
        <w:rPr>
          <w:b/>
        </w:rPr>
      </w:pPr>
      <w:r w:rsidRPr="006E7DB6">
        <w:rPr>
          <w:b/>
        </w:rPr>
        <w:t>Overview</w:t>
      </w:r>
    </w:p>
    <w:p w14:paraId="32B30F4B" w14:textId="77777777" w:rsidR="0084080B" w:rsidRDefault="0084080B">
      <w:pPr>
        <w:widowControl w:val="0"/>
      </w:pPr>
    </w:p>
    <w:p w14:paraId="1A5E7602" w14:textId="77777777" w:rsidR="00BC1166" w:rsidRDefault="002A7AE6" w:rsidP="00BC1166">
      <w:pPr>
        <w:widowControl w:val="0"/>
        <w:ind w:firstLine="720"/>
      </w:pPr>
      <w:r>
        <w:t>The U.S. Environmental Protection Agency (EPA) recently promulgated the National Pollutant Discharge Elimination System (NPDES) Electronic Reporting Rule (“final rule”) to modernize Clean Water Act reporting for municipalities, industries, and other facilities by converting to an el</w:t>
      </w:r>
      <w:r w:rsidR="00BC1166">
        <w:t xml:space="preserve">ectronic data reporting system (see </w:t>
      </w:r>
      <w:r w:rsidR="00BC1166" w:rsidRPr="00BC1166">
        <w:t>October 22, 2015</w:t>
      </w:r>
      <w:r w:rsidR="00BC1166">
        <w:t xml:space="preserve">; 80 FR 64064). </w:t>
      </w:r>
      <w:r>
        <w:t>This final rule requires regulated entities and state and Federal regulators to use existing, available information technology to electronically report data required by the NPDES permit program instead of filing written paper reports.</w:t>
      </w:r>
    </w:p>
    <w:p w14:paraId="34E1E253" w14:textId="77777777" w:rsidR="00BC1166" w:rsidRDefault="00BC1166" w:rsidP="00BC1166">
      <w:pPr>
        <w:widowControl w:val="0"/>
        <w:ind w:firstLine="720"/>
      </w:pPr>
    </w:p>
    <w:p w14:paraId="58B45B73" w14:textId="396C6466" w:rsidR="00BC1166" w:rsidRDefault="0041518A" w:rsidP="00BC1166">
      <w:pPr>
        <w:widowControl w:val="0"/>
        <w:ind w:firstLine="720"/>
      </w:pPr>
      <w:r>
        <w:t>The use of electronic reporting</w:t>
      </w:r>
      <w:r w:rsidR="002A7AE6">
        <w:t xml:space="preserve"> will save time and resources for permittees, states, tribes, territories, and the U.S. Government while increasing data accuracy, improving compliance, and supporting EPA’s goal of better </w:t>
      </w:r>
      <w:r>
        <w:t xml:space="preserve">protecting </w:t>
      </w:r>
      <w:r w:rsidR="002A7AE6">
        <w:t xml:space="preserve">the nation’s waters. This regulation helps provide greater clarity on who is and who is not in compliance, and enhances transparency by providing a timelier, </w:t>
      </w:r>
      <w:r>
        <w:t xml:space="preserve">more </w:t>
      </w:r>
      <w:r w:rsidR="002A7AE6">
        <w:t>complete, more accurate, and nationally-consistent set of data about the NPDES program.</w:t>
      </w:r>
    </w:p>
    <w:p w14:paraId="1A2527B1" w14:textId="77777777" w:rsidR="00BC1166" w:rsidRDefault="00BC1166" w:rsidP="00BC1166">
      <w:pPr>
        <w:widowControl w:val="0"/>
        <w:ind w:firstLine="720"/>
      </w:pPr>
    </w:p>
    <w:p w14:paraId="1E706DC5" w14:textId="61DDD317" w:rsidR="00BC1166" w:rsidRDefault="00BC1166" w:rsidP="00BC1166">
      <w:pPr>
        <w:widowControl w:val="0"/>
        <w:ind w:firstLine="720"/>
      </w:pPr>
      <w:r>
        <w:t xml:space="preserve">The final rule also provides authorized NPDES programs with flexibility in how to handle unusual circumstances </w:t>
      </w:r>
      <w:r w:rsidR="006E7DB6">
        <w:t xml:space="preserve">for permittees </w:t>
      </w:r>
      <w:r>
        <w:t>that may arise from time to time. In particular, the final rule includes four data elements that allow authorized NPDES programs to manually override system</w:t>
      </w:r>
      <w:r w:rsidR="0041518A">
        <w:t>-</w:t>
      </w:r>
      <w:r>
        <w:t>generated compliance evaluations</w:t>
      </w:r>
      <w:r w:rsidR="006E7DB6">
        <w:t xml:space="preserve"> </w:t>
      </w:r>
      <w:r w:rsidR="00CE7F0E">
        <w:t xml:space="preserve">for permittees </w:t>
      </w:r>
      <w:r>
        <w:t xml:space="preserve">(see Appendix A to 40 CFR 127). These four data elements </w:t>
      </w:r>
      <w:r w:rsidR="0041518A">
        <w:t xml:space="preserve">are </w:t>
      </w:r>
      <w:r>
        <w:t>shown in Table 1.</w:t>
      </w:r>
    </w:p>
    <w:p w14:paraId="5A2FE872" w14:textId="77777777" w:rsidR="00BC1166" w:rsidRDefault="00BC1166">
      <w:r>
        <w:br w:type="page"/>
      </w:r>
    </w:p>
    <w:p w14:paraId="7AF53AFF" w14:textId="77777777" w:rsidR="00BC1166" w:rsidRDefault="00BC1166" w:rsidP="00BC1166">
      <w:pPr>
        <w:widowControl w:val="0"/>
      </w:pPr>
      <w:r w:rsidRPr="00BC1166">
        <w:rPr>
          <w:b/>
        </w:rPr>
        <w:lastRenderedPageBreak/>
        <w:t>Table 1:</w:t>
      </w:r>
      <w:r>
        <w:t xml:space="preserve"> </w:t>
      </w:r>
      <w:r w:rsidRPr="00BC1166">
        <w:t>Appendix A Data Elements Used for DMR Non-Receipt and Permit Compliance Tracking</w:t>
      </w:r>
    </w:p>
    <w:p w14:paraId="2CE543D2" w14:textId="77777777" w:rsidR="00BC1166" w:rsidRDefault="00BC1166" w:rsidP="00BC1166">
      <w:pPr>
        <w:widowControl w:val="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7295"/>
      </w:tblGrid>
      <w:tr w:rsidR="0041518A" w:rsidRPr="00BC1166" w14:paraId="17CBA25E" w14:textId="77777777" w:rsidTr="007160FB">
        <w:trPr>
          <w:cantSplit/>
          <w:trHeight w:val="720"/>
          <w:jc w:val="center"/>
        </w:trPr>
        <w:tc>
          <w:tcPr>
            <w:tcW w:w="1795" w:type="dxa"/>
            <w:tcBorders>
              <w:top w:val="single" w:sz="4" w:space="0" w:color="auto"/>
              <w:left w:val="single" w:sz="4" w:space="0" w:color="auto"/>
              <w:bottom w:val="single" w:sz="4" w:space="0" w:color="auto"/>
              <w:right w:val="single" w:sz="4" w:space="0" w:color="auto"/>
            </w:tcBorders>
            <w:shd w:val="pct10" w:color="000000" w:fill="FFFFFF"/>
            <w:vAlign w:val="center"/>
          </w:tcPr>
          <w:p w14:paraId="72679A70" w14:textId="3DDD9598" w:rsidR="0041518A" w:rsidRPr="007160FB" w:rsidRDefault="0041518A" w:rsidP="009C5BC9">
            <w:pPr>
              <w:rPr>
                <w:b/>
                <w:sz w:val="20"/>
              </w:rPr>
            </w:pPr>
            <w:r w:rsidRPr="007160FB">
              <w:rPr>
                <w:b/>
                <w:sz w:val="20"/>
              </w:rPr>
              <w:t xml:space="preserve">Data </w:t>
            </w:r>
            <w:r w:rsidR="009C5BC9" w:rsidRPr="007160FB">
              <w:rPr>
                <w:b/>
                <w:sz w:val="20"/>
              </w:rPr>
              <w:t>Name</w:t>
            </w:r>
          </w:p>
        </w:tc>
        <w:tc>
          <w:tcPr>
            <w:tcW w:w="7295" w:type="dxa"/>
            <w:tcBorders>
              <w:top w:val="single" w:sz="4" w:space="0" w:color="auto"/>
              <w:left w:val="single" w:sz="4" w:space="0" w:color="auto"/>
              <w:bottom w:val="single" w:sz="4" w:space="0" w:color="auto"/>
              <w:right w:val="single" w:sz="4" w:space="0" w:color="auto"/>
            </w:tcBorders>
            <w:shd w:val="pct10" w:color="000000" w:fill="FFFFFF"/>
            <w:vAlign w:val="center"/>
          </w:tcPr>
          <w:p w14:paraId="0B9CC203" w14:textId="78C0B578" w:rsidR="0041518A" w:rsidRPr="007160FB" w:rsidRDefault="009C5BC9" w:rsidP="00BC1166">
            <w:pPr>
              <w:rPr>
                <w:b/>
                <w:sz w:val="20"/>
              </w:rPr>
            </w:pPr>
            <w:r w:rsidRPr="007160FB">
              <w:rPr>
                <w:b/>
                <w:sz w:val="20"/>
              </w:rPr>
              <w:t xml:space="preserve">Data </w:t>
            </w:r>
            <w:r w:rsidR="0041518A" w:rsidRPr="007160FB">
              <w:rPr>
                <w:b/>
                <w:sz w:val="20"/>
              </w:rPr>
              <w:t>Description</w:t>
            </w:r>
          </w:p>
        </w:tc>
      </w:tr>
      <w:tr w:rsidR="00BC1166" w:rsidRPr="00BC1166" w14:paraId="55432B5F" w14:textId="77777777" w:rsidTr="00BC1166">
        <w:trPr>
          <w:cantSplit/>
          <w:trHeight w:val="720"/>
          <w:jc w:val="center"/>
        </w:trPr>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14:paraId="7A20A93E" w14:textId="77777777" w:rsidR="00BC1166" w:rsidRPr="00BC1166" w:rsidRDefault="00BC1166" w:rsidP="00BC1166">
            <w:pPr>
              <w:rPr>
                <w:sz w:val="20"/>
              </w:rPr>
            </w:pPr>
            <w:r w:rsidRPr="00BC1166">
              <w:rPr>
                <w:sz w:val="20"/>
              </w:rPr>
              <w:t>DMR Non-Receipt</w:t>
            </w:r>
          </w:p>
        </w:tc>
        <w:tc>
          <w:tcPr>
            <w:tcW w:w="7295" w:type="dxa"/>
            <w:tcBorders>
              <w:top w:val="single" w:sz="4" w:space="0" w:color="auto"/>
              <w:left w:val="single" w:sz="4" w:space="0" w:color="auto"/>
              <w:bottom w:val="single" w:sz="4" w:space="0" w:color="auto"/>
              <w:right w:val="single" w:sz="4" w:space="0" w:color="auto"/>
            </w:tcBorders>
            <w:shd w:val="clear" w:color="000000" w:fill="FFFFFF"/>
            <w:vAlign w:val="center"/>
          </w:tcPr>
          <w:p w14:paraId="52099919" w14:textId="7FBD22E1" w:rsidR="00BC1166" w:rsidRPr="00BC1166" w:rsidRDefault="009C5BC9" w:rsidP="0041518A">
            <w:pPr>
              <w:rPr>
                <w:sz w:val="20"/>
              </w:rPr>
            </w:pPr>
            <w:r w:rsidRPr="009C5BC9">
              <w:rPr>
                <w:sz w:val="20"/>
              </w:rPr>
              <w:t>Turns non-receipt tracking for compliance monitoring submissions [e.g., discharge monitoring reports (DMRs)] “on” or “off” for non-major permits (a.k.a. “minors”). This field is always “on” for major permits. This data element is initially system generated (defaults to “on”) and the most recent value is copied when the permit is reissued. . This data element will also be used to track non-receipt tracking of periodic compliance monitoring data [40 CFR 403.12(e) and (h)] for Significant Industrial Users (SIUs) and Categorical Industrial Users (CIUs) that discharge (including non-domestic wastewater delivered by truck, rail, and dedicated pipe or other means of transportation) to one or more POTWs in states where EPA or the State is the Control Authority).</w:t>
            </w:r>
          </w:p>
        </w:tc>
      </w:tr>
      <w:tr w:rsidR="00BC1166" w:rsidRPr="00BC1166" w14:paraId="75BEDA50" w14:textId="77777777" w:rsidTr="00BC1166">
        <w:trPr>
          <w:cantSplit/>
          <w:trHeight w:val="720"/>
          <w:jc w:val="center"/>
        </w:trPr>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14:paraId="0CE3CCCF" w14:textId="77777777" w:rsidR="00BC1166" w:rsidRPr="00BC1166" w:rsidRDefault="00BC1166" w:rsidP="00BC1166">
            <w:pPr>
              <w:rPr>
                <w:sz w:val="20"/>
              </w:rPr>
            </w:pPr>
            <w:r w:rsidRPr="00BC1166">
              <w:rPr>
                <w:sz w:val="20"/>
              </w:rPr>
              <w:t>DMR Non-Receipt Start Date</w:t>
            </w:r>
          </w:p>
        </w:tc>
        <w:tc>
          <w:tcPr>
            <w:tcW w:w="7295" w:type="dxa"/>
            <w:tcBorders>
              <w:top w:val="single" w:sz="4" w:space="0" w:color="auto"/>
              <w:left w:val="single" w:sz="4" w:space="0" w:color="auto"/>
              <w:bottom w:val="single" w:sz="4" w:space="0" w:color="auto"/>
              <w:right w:val="single" w:sz="4" w:space="0" w:color="auto"/>
            </w:tcBorders>
            <w:shd w:val="clear" w:color="000000" w:fill="FFFFFF"/>
            <w:vAlign w:val="center"/>
          </w:tcPr>
          <w:p w14:paraId="1A34C6E4" w14:textId="6367DB4E" w:rsidR="00BC1166" w:rsidRPr="00BC1166" w:rsidRDefault="009C5BC9" w:rsidP="0041518A">
            <w:pPr>
              <w:rPr>
                <w:sz w:val="20"/>
              </w:rPr>
            </w:pPr>
            <w:r w:rsidRPr="009C5BC9">
              <w:rPr>
                <w:sz w:val="20"/>
              </w:rPr>
              <w:t>This is the date on which the permit’s “on” or “off” period for DMR Non-Receipt tracking status began. Initially system-generated to match effective date. The date must be provided in YYYY-MM-DD format where YYYY is the year, MM is the month, and DD is the day. This data element will also be used to track non-receipt tracking of periodic compliance monitoring data [40 CFR 403.12(e) and (h)] for Significant Industrial Users (SIUs) and Categorical Industrial Users (CIUs) that discharge (including non-domestic wastewater delivered by truck, rail, and dedicated pipe or other means of transportation) to one or more POTWs in states where EPA or the State is the Control Authority).</w:t>
            </w:r>
          </w:p>
        </w:tc>
      </w:tr>
      <w:tr w:rsidR="00BC1166" w:rsidRPr="00BC1166" w14:paraId="278F9EEA" w14:textId="77777777" w:rsidTr="00BC1166">
        <w:trPr>
          <w:cantSplit/>
          <w:trHeight w:val="720"/>
          <w:jc w:val="center"/>
        </w:trPr>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14:paraId="35CA25D3" w14:textId="77777777" w:rsidR="00BC1166" w:rsidRPr="00BC1166" w:rsidRDefault="00BC1166" w:rsidP="00BC1166">
            <w:pPr>
              <w:rPr>
                <w:sz w:val="20"/>
              </w:rPr>
            </w:pPr>
            <w:r w:rsidRPr="00BC1166">
              <w:rPr>
                <w:sz w:val="20"/>
              </w:rPr>
              <w:t>Permit Compliance Tracking Status</w:t>
            </w:r>
          </w:p>
        </w:tc>
        <w:tc>
          <w:tcPr>
            <w:tcW w:w="7295" w:type="dxa"/>
            <w:tcBorders>
              <w:top w:val="single" w:sz="4" w:space="0" w:color="auto"/>
              <w:left w:val="single" w:sz="4" w:space="0" w:color="auto"/>
              <w:bottom w:val="single" w:sz="4" w:space="0" w:color="auto"/>
              <w:right w:val="single" w:sz="4" w:space="0" w:color="auto"/>
            </w:tcBorders>
            <w:shd w:val="clear" w:color="000000" w:fill="FFFFFF"/>
            <w:vAlign w:val="center"/>
          </w:tcPr>
          <w:p w14:paraId="2719E5BF" w14:textId="04F3B62E" w:rsidR="00BC1166" w:rsidRPr="00BC1166" w:rsidRDefault="009C5BC9" w:rsidP="00BC1166">
            <w:pPr>
              <w:rPr>
                <w:sz w:val="20"/>
              </w:rPr>
            </w:pPr>
            <w:r w:rsidRPr="009C5BC9">
              <w:rPr>
                <w:sz w:val="20"/>
              </w:rPr>
              <w:t>This is a unique code/description that indicates whether the permit is currently “on” or “off” for compliance tracking purposes. This data element is initially system generated (defaults to “on”) and the most recent value is copied when the permit is reissued.</w:t>
            </w:r>
          </w:p>
        </w:tc>
      </w:tr>
      <w:tr w:rsidR="00BC1166" w:rsidRPr="00BC1166" w14:paraId="6CC3901D" w14:textId="77777777" w:rsidTr="00BC1166">
        <w:trPr>
          <w:cantSplit/>
          <w:trHeight w:val="720"/>
          <w:jc w:val="center"/>
        </w:trPr>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14:paraId="4BD03845" w14:textId="77777777" w:rsidR="00BC1166" w:rsidRPr="00BC1166" w:rsidRDefault="00BC1166" w:rsidP="00BC1166">
            <w:pPr>
              <w:rPr>
                <w:sz w:val="20"/>
              </w:rPr>
            </w:pPr>
            <w:r w:rsidRPr="00BC1166">
              <w:rPr>
                <w:sz w:val="20"/>
              </w:rPr>
              <w:t>Permit Compliance Tracking Status Start Date</w:t>
            </w:r>
          </w:p>
        </w:tc>
        <w:tc>
          <w:tcPr>
            <w:tcW w:w="7295" w:type="dxa"/>
            <w:tcBorders>
              <w:top w:val="single" w:sz="4" w:space="0" w:color="auto"/>
              <w:left w:val="single" w:sz="4" w:space="0" w:color="auto"/>
              <w:bottom w:val="single" w:sz="4" w:space="0" w:color="auto"/>
              <w:right w:val="single" w:sz="4" w:space="0" w:color="auto"/>
            </w:tcBorders>
            <w:shd w:val="clear" w:color="000000" w:fill="FFFFFF"/>
            <w:vAlign w:val="center"/>
          </w:tcPr>
          <w:p w14:paraId="0E0B90ED" w14:textId="00108629" w:rsidR="00BC1166" w:rsidRPr="00BC1166" w:rsidRDefault="009C5BC9" w:rsidP="00086485">
            <w:pPr>
              <w:rPr>
                <w:sz w:val="20"/>
              </w:rPr>
            </w:pPr>
            <w:r w:rsidRPr="009C5BC9">
              <w:rPr>
                <w:sz w:val="20"/>
              </w:rPr>
              <w:t>This is the date on which the permit’s “on” or “off” period for compliance tracking status began. Initially system-generated to match effective date. The date must be provided in YYYY-MM-DD format where YYYY is the year, MM is the month, and DD is the day.</w:t>
            </w:r>
          </w:p>
        </w:tc>
      </w:tr>
    </w:tbl>
    <w:p w14:paraId="257C9555" w14:textId="77777777" w:rsidR="00BC1166" w:rsidRDefault="00BC1166" w:rsidP="00BC1166">
      <w:pPr>
        <w:widowControl w:val="0"/>
      </w:pPr>
    </w:p>
    <w:p w14:paraId="3779ADD4" w14:textId="77777777" w:rsidR="008166DD" w:rsidRDefault="00BC1166" w:rsidP="008166DD">
      <w:pPr>
        <w:widowControl w:val="0"/>
        <w:rPr>
          <w:szCs w:val="24"/>
        </w:rPr>
      </w:pPr>
      <w:r>
        <w:t xml:space="preserve">This memorandum provides guidance on how authorized NPDES programs should use these </w:t>
      </w:r>
      <w:r w:rsidR="006E7DB6">
        <w:t xml:space="preserve">four </w:t>
      </w:r>
      <w:r>
        <w:t>data elements</w:t>
      </w:r>
      <w:r w:rsidR="008166DD">
        <w:rPr>
          <w:szCs w:val="24"/>
        </w:rPr>
        <w:t xml:space="preserve">. Additionally, this memorandum discusses how authorized NPDES programs should use the </w:t>
      </w:r>
      <w:r w:rsidR="008166DD" w:rsidRPr="008166DD">
        <w:rPr>
          <w:szCs w:val="24"/>
        </w:rPr>
        <w:t xml:space="preserve">“Permit Major/Minor Status Indicator” </w:t>
      </w:r>
      <w:r w:rsidR="008166DD">
        <w:rPr>
          <w:szCs w:val="24"/>
        </w:rPr>
        <w:t xml:space="preserve">and </w:t>
      </w:r>
      <w:r w:rsidR="008166DD" w:rsidRPr="008166DD">
        <w:rPr>
          <w:szCs w:val="24"/>
        </w:rPr>
        <w:t>“Permit</w:t>
      </w:r>
      <w:r w:rsidR="008166DD">
        <w:rPr>
          <w:szCs w:val="24"/>
        </w:rPr>
        <w:t xml:space="preserve"> Major/Minor Status Start Date” data elements. </w:t>
      </w:r>
    </w:p>
    <w:p w14:paraId="520E7096" w14:textId="77777777" w:rsidR="006E7DB6" w:rsidRDefault="006E7DB6" w:rsidP="00C97EA5">
      <w:pPr>
        <w:widowControl w:val="0"/>
        <w:rPr>
          <w:szCs w:val="24"/>
        </w:rPr>
      </w:pPr>
    </w:p>
    <w:p w14:paraId="0F020AC7" w14:textId="77777777" w:rsidR="006E7DB6" w:rsidRPr="006E7DB6" w:rsidRDefault="006E7DB6" w:rsidP="00C97EA5">
      <w:pPr>
        <w:widowControl w:val="0"/>
        <w:rPr>
          <w:b/>
          <w:szCs w:val="24"/>
        </w:rPr>
      </w:pPr>
      <w:r w:rsidRPr="006E7DB6">
        <w:rPr>
          <w:b/>
          <w:szCs w:val="24"/>
        </w:rPr>
        <w:t>Guidance</w:t>
      </w:r>
    </w:p>
    <w:p w14:paraId="5C64376D" w14:textId="77777777" w:rsidR="006E7DB6" w:rsidRDefault="006E7DB6" w:rsidP="00C97EA5">
      <w:pPr>
        <w:widowControl w:val="0"/>
        <w:rPr>
          <w:szCs w:val="24"/>
        </w:rPr>
      </w:pPr>
    </w:p>
    <w:p w14:paraId="0BAF4736" w14:textId="77777777" w:rsidR="008166DD" w:rsidRPr="008166DD" w:rsidRDefault="008166DD" w:rsidP="00C97EA5">
      <w:pPr>
        <w:widowControl w:val="0"/>
        <w:rPr>
          <w:szCs w:val="24"/>
          <w:u w:val="single"/>
        </w:rPr>
      </w:pPr>
      <w:r w:rsidRPr="008166DD">
        <w:rPr>
          <w:szCs w:val="24"/>
          <w:u w:val="single"/>
        </w:rPr>
        <w:t>Tracking Data Elements</w:t>
      </w:r>
    </w:p>
    <w:p w14:paraId="5E4BAAB2" w14:textId="77777777" w:rsidR="008166DD" w:rsidRDefault="008166DD" w:rsidP="00C97EA5">
      <w:pPr>
        <w:widowControl w:val="0"/>
        <w:rPr>
          <w:szCs w:val="24"/>
        </w:rPr>
      </w:pPr>
    </w:p>
    <w:p w14:paraId="17E064D4" w14:textId="49C3D3B7" w:rsidR="00C97EA5" w:rsidRPr="00C97EA5" w:rsidRDefault="00C97EA5" w:rsidP="00C97EA5">
      <w:pPr>
        <w:widowControl w:val="0"/>
        <w:ind w:firstLine="720"/>
        <w:rPr>
          <w:szCs w:val="24"/>
        </w:rPr>
      </w:pPr>
      <w:r w:rsidRPr="00C97EA5">
        <w:rPr>
          <w:szCs w:val="24"/>
        </w:rPr>
        <w:t xml:space="preserve">The final rule allows authorized NPDES programs to turn “DMR Non-Receipt” and “Permit Compliance Tracking Status” to “Off” as needed; however, this should </w:t>
      </w:r>
      <w:r w:rsidR="00086485">
        <w:rPr>
          <w:szCs w:val="24"/>
        </w:rPr>
        <w:t xml:space="preserve">be </w:t>
      </w:r>
      <w:r w:rsidRPr="00C97EA5">
        <w:rPr>
          <w:szCs w:val="24"/>
        </w:rPr>
        <w:t xml:space="preserve">for limited circumstances and duration. </w:t>
      </w:r>
      <w:r>
        <w:rPr>
          <w:szCs w:val="24"/>
        </w:rPr>
        <w:t>In particular, t</w:t>
      </w:r>
      <w:r w:rsidRPr="00C97EA5">
        <w:rPr>
          <w:rFonts w:eastAsia="Calibri"/>
          <w:szCs w:val="24"/>
        </w:rPr>
        <w:t>hese limited circumstances should be of a short duration (e.g., less than 60 days) and may include:</w:t>
      </w:r>
    </w:p>
    <w:p w14:paraId="1688DDA7" w14:textId="77777777" w:rsidR="00C97EA5" w:rsidRPr="00C97EA5" w:rsidRDefault="00C97EA5" w:rsidP="00C97EA5">
      <w:pPr>
        <w:ind w:left="720"/>
        <w:contextualSpacing/>
        <w:rPr>
          <w:rFonts w:eastAsia="Calibri"/>
          <w:szCs w:val="24"/>
        </w:rPr>
      </w:pPr>
    </w:p>
    <w:p w14:paraId="1BAC11D5" w14:textId="77777777" w:rsidR="00C97EA5" w:rsidRDefault="00C97EA5" w:rsidP="00C97EA5">
      <w:pPr>
        <w:numPr>
          <w:ilvl w:val="0"/>
          <w:numId w:val="1"/>
        </w:numPr>
        <w:spacing w:after="160" w:line="259" w:lineRule="auto"/>
        <w:ind w:left="720"/>
        <w:contextualSpacing/>
        <w:rPr>
          <w:rFonts w:eastAsia="Calibri"/>
          <w:szCs w:val="24"/>
        </w:rPr>
      </w:pPr>
      <w:r w:rsidRPr="00C97EA5">
        <w:rPr>
          <w:rFonts w:eastAsia="Calibri"/>
          <w:szCs w:val="24"/>
        </w:rPr>
        <w:t>Widespread natural disaster (e.g., earthquake, hurricane, flood);</w:t>
      </w:r>
    </w:p>
    <w:p w14:paraId="3334DAC4" w14:textId="77777777" w:rsidR="00C97EA5" w:rsidRDefault="00C97EA5" w:rsidP="00C97EA5">
      <w:pPr>
        <w:numPr>
          <w:ilvl w:val="0"/>
          <w:numId w:val="1"/>
        </w:numPr>
        <w:spacing w:after="160" w:line="259" w:lineRule="auto"/>
        <w:ind w:left="720"/>
        <w:contextualSpacing/>
        <w:rPr>
          <w:rFonts w:eastAsia="Calibri"/>
          <w:szCs w:val="24"/>
        </w:rPr>
      </w:pPr>
      <w:r w:rsidRPr="00C97EA5">
        <w:rPr>
          <w:rFonts w:eastAsia="Calibri"/>
          <w:szCs w:val="24"/>
        </w:rPr>
        <w:t>Prolonged outage of electronic reporting tool; or</w:t>
      </w:r>
    </w:p>
    <w:p w14:paraId="0DB9687F" w14:textId="77777777" w:rsidR="00C97EA5" w:rsidRPr="00C97EA5" w:rsidRDefault="00C97EA5" w:rsidP="00C97EA5">
      <w:pPr>
        <w:numPr>
          <w:ilvl w:val="0"/>
          <w:numId w:val="1"/>
        </w:numPr>
        <w:spacing w:after="160" w:line="259" w:lineRule="auto"/>
        <w:ind w:left="720"/>
        <w:contextualSpacing/>
        <w:rPr>
          <w:rFonts w:eastAsia="Calibri"/>
          <w:szCs w:val="24"/>
        </w:rPr>
      </w:pPr>
      <w:r w:rsidRPr="00C97EA5">
        <w:rPr>
          <w:rFonts w:eastAsia="Calibri"/>
          <w:szCs w:val="24"/>
        </w:rPr>
        <w:t>Unique circumstance of permittee (e.g., serious illness or death of owner/operator).</w:t>
      </w:r>
    </w:p>
    <w:p w14:paraId="1CEA9B11" w14:textId="77777777" w:rsidR="00C97EA5" w:rsidRDefault="00C97EA5" w:rsidP="00C97EA5">
      <w:pPr>
        <w:ind w:left="720"/>
        <w:rPr>
          <w:rFonts w:eastAsia="Calibri"/>
          <w:szCs w:val="24"/>
        </w:rPr>
      </w:pPr>
    </w:p>
    <w:p w14:paraId="6F4BA73A" w14:textId="7F382B9E" w:rsidR="00C97EA5" w:rsidRDefault="00C97EA5" w:rsidP="00C97EA5">
      <w:pPr>
        <w:rPr>
          <w:rFonts w:eastAsia="Calibri"/>
          <w:szCs w:val="24"/>
        </w:rPr>
      </w:pPr>
      <w:r w:rsidRPr="00C97EA5">
        <w:rPr>
          <w:rFonts w:eastAsia="Calibri"/>
          <w:szCs w:val="24"/>
        </w:rPr>
        <w:lastRenderedPageBreak/>
        <w:t xml:space="preserve">For example, Regions and states may elect to set </w:t>
      </w:r>
      <w:r w:rsidR="006E7DB6">
        <w:rPr>
          <w:rFonts w:eastAsia="Calibri"/>
          <w:szCs w:val="24"/>
        </w:rPr>
        <w:t>“</w:t>
      </w:r>
      <w:r w:rsidR="006E7DB6" w:rsidRPr="006E7DB6">
        <w:rPr>
          <w:rFonts w:eastAsia="Calibri"/>
          <w:szCs w:val="24"/>
        </w:rPr>
        <w:t>DMR Non-Receipt</w:t>
      </w:r>
      <w:r w:rsidR="006E7DB6">
        <w:rPr>
          <w:rFonts w:eastAsia="Calibri"/>
          <w:szCs w:val="24"/>
        </w:rPr>
        <w:t>” or “</w:t>
      </w:r>
      <w:r w:rsidR="006E7DB6" w:rsidRPr="006E7DB6">
        <w:rPr>
          <w:rFonts w:eastAsia="Calibri"/>
          <w:szCs w:val="24"/>
        </w:rPr>
        <w:t>Permit Compliance Tracking Status</w:t>
      </w:r>
      <w:r w:rsidR="006E7DB6">
        <w:rPr>
          <w:rFonts w:eastAsia="Calibri"/>
          <w:szCs w:val="24"/>
        </w:rPr>
        <w:t xml:space="preserve">” </w:t>
      </w:r>
      <w:r w:rsidRPr="00C97EA5">
        <w:rPr>
          <w:rFonts w:eastAsia="Calibri"/>
          <w:szCs w:val="24"/>
        </w:rPr>
        <w:t>to “Off” when permittees have an episodic waiver (</w:t>
      </w:r>
      <w:r w:rsidR="006E7DB6">
        <w:rPr>
          <w:rFonts w:eastAsia="Calibri"/>
          <w:szCs w:val="24"/>
        </w:rPr>
        <w:t xml:space="preserve">but </w:t>
      </w:r>
      <w:r w:rsidRPr="00C97EA5">
        <w:rPr>
          <w:rFonts w:eastAsia="Calibri"/>
          <w:szCs w:val="24"/>
        </w:rPr>
        <w:t>not temporary or permanent waivers).</w:t>
      </w:r>
      <w:r>
        <w:rPr>
          <w:rFonts w:eastAsia="Calibri"/>
          <w:szCs w:val="24"/>
        </w:rPr>
        <w:t xml:space="preserve"> </w:t>
      </w:r>
      <w:r w:rsidRPr="00C97EA5">
        <w:rPr>
          <w:rFonts w:eastAsia="Calibri"/>
          <w:szCs w:val="24"/>
        </w:rPr>
        <w:t>In accordance with the NPDES Electronic Reporting Rule, these episodic waivers cannot last more than 60 days [see 40 CFR 127.15(d)(3)].</w:t>
      </w:r>
      <w:r>
        <w:rPr>
          <w:rFonts w:eastAsia="Calibri"/>
          <w:szCs w:val="24"/>
        </w:rPr>
        <w:t xml:space="preserve"> </w:t>
      </w:r>
      <w:r w:rsidR="00310509">
        <w:rPr>
          <w:rFonts w:eastAsia="Calibri"/>
          <w:szCs w:val="24"/>
        </w:rPr>
        <w:t>T</w:t>
      </w:r>
      <w:r w:rsidR="00086485">
        <w:rPr>
          <w:rFonts w:eastAsia="Calibri"/>
          <w:szCs w:val="24"/>
        </w:rPr>
        <w:t>he</w:t>
      </w:r>
      <w:r w:rsidR="007160FB">
        <w:rPr>
          <w:rFonts w:eastAsia="Calibri"/>
          <w:szCs w:val="24"/>
        </w:rPr>
        <w:t xml:space="preserve"> final</w:t>
      </w:r>
      <w:r w:rsidR="00086485">
        <w:rPr>
          <w:rFonts w:eastAsia="Calibri"/>
          <w:szCs w:val="24"/>
        </w:rPr>
        <w:t xml:space="preserve"> rule empowers </w:t>
      </w:r>
      <w:r w:rsidRPr="00C97EA5">
        <w:rPr>
          <w:rFonts w:eastAsia="Calibri"/>
          <w:szCs w:val="24"/>
        </w:rPr>
        <w:t xml:space="preserve">authorized NPDES programs to directly manage </w:t>
      </w:r>
      <w:r w:rsidR="00086485">
        <w:rPr>
          <w:rFonts w:eastAsia="Calibri"/>
          <w:szCs w:val="24"/>
        </w:rPr>
        <w:t xml:space="preserve">the tracking </w:t>
      </w:r>
      <w:r w:rsidRPr="00C97EA5">
        <w:rPr>
          <w:rFonts w:eastAsia="Calibri"/>
          <w:szCs w:val="24"/>
        </w:rPr>
        <w:t>data elements for these limited circumstances.</w:t>
      </w:r>
      <w:r w:rsidR="00CE7F0E">
        <w:rPr>
          <w:rFonts w:eastAsia="Calibri"/>
          <w:szCs w:val="24"/>
        </w:rPr>
        <w:t xml:space="preserve"> The final rule also allows the </w:t>
      </w:r>
      <w:r w:rsidR="00CE7F0E" w:rsidRPr="00CE7F0E">
        <w:rPr>
          <w:rFonts w:eastAsia="Calibri"/>
          <w:szCs w:val="24"/>
        </w:rPr>
        <w:t xml:space="preserve">NPDES program or </w:t>
      </w:r>
      <w:r w:rsidR="00CE7F0E">
        <w:rPr>
          <w:rFonts w:eastAsia="Calibri"/>
          <w:szCs w:val="24"/>
        </w:rPr>
        <w:t xml:space="preserve">the </w:t>
      </w:r>
      <w:r w:rsidR="00CE7F0E" w:rsidRPr="00CE7F0E">
        <w:rPr>
          <w:rFonts w:eastAsia="Calibri"/>
          <w:szCs w:val="24"/>
        </w:rPr>
        <w:t xml:space="preserve">initial recipient </w:t>
      </w:r>
      <w:r w:rsidR="00CE7F0E">
        <w:rPr>
          <w:rFonts w:eastAsia="Calibri"/>
          <w:szCs w:val="24"/>
        </w:rPr>
        <w:t xml:space="preserve">to </w:t>
      </w:r>
      <w:r w:rsidR="00CE7F0E" w:rsidRPr="00CE7F0E">
        <w:rPr>
          <w:rFonts w:eastAsia="Calibri"/>
          <w:szCs w:val="24"/>
        </w:rPr>
        <w:t>decide if</w:t>
      </w:r>
      <w:r w:rsidR="00CE7F0E">
        <w:rPr>
          <w:rFonts w:eastAsia="Calibri"/>
          <w:szCs w:val="24"/>
        </w:rPr>
        <w:t xml:space="preserve"> NPDES-regulated entities should </w:t>
      </w:r>
      <w:r w:rsidR="00CE7F0E" w:rsidRPr="00CE7F0E">
        <w:rPr>
          <w:rFonts w:eastAsia="Calibri"/>
          <w:szCs w:val="24"/>
        </w:rPr>
        <w:t>delay their electronic submissions or to se</w:t>
      </w:r>
      <w:r w:rsidR="00CE7F0E">
        <w:rPr>
          <w:rFonts w:eastAsia="Calibri"/>
          <w:szCs w:val="24"/>
        </w:rPr>
        <w:t>nd hardcopy (paper) submissions [</w:t>
      </w:r>
      <w:r w:rsidR="00CE7F0E" w:rsidRPr="00CE7F0E">
        <w:rPr>
          <w:rFonts w:eastAsia="Calibri"/>
          <w:szCs w:val="24"/>
        </w:rPr>
        <w:t>see 40 CFR 127.15(d</w:t>
      </w:r>
      <w:proofErr w:type="gramStart"/>
      <w:r w:rsidR="00CE7F0E" w:rsidRPr="00CE7F0E">
        <w:rPr>
          <w:rFonts w:eastAsia="Calibri"/>
          <w:szCs w:val="24"/>
        </w:rPr>
        <w:t>)(</w:t>
      </w:r>
      <w:proofErr w:type="gramEnd"/>
      <w:r w:rsidR="00CE7F0E">
        <w:rPr>
          <w:rFonts w:eastAsia="Calibri"/>
          <w:szCs w:val="24"/>
        </w:rPr>
        <w:t>4</w:t>
      </w:r>
      <w:r w:rsidR="00CE7F0E" w:rsidRPr="00CE7F0E">
        <w:rPr>
          <w:rFonts w:eastAsia="Calibri"/>
          <w:szCs w:val="24"/>
        </w:rPr>
        <w:t>)].</w:t>
      </w:r>
    </w:p>
    <w:p w14:paraId="445B43EC" w14:textId="77777777" w:rsidR="00C97EA5" w:rsidRDefault="00C97EA5" w:rsidP="00C97EA5">
      <w:pPr>
        <w:rPr>
          <w:rFonts w:eastAsia="Calibri"/>
          <w:szCs w:val="24"/>
        </w:rPr>
      </w:pPr>
    </w:p>
    <w:p w14:paraId="7C498547" w14:textId="22C0483A" w:rsidR="00C97EA5" w:rsidRDefault="006E7DB6" w:rsidP="002D075C">
      <w:pPr>
        <w:ind w:firstLine="720"/>
        <w:rPr>
          <w:rFonts w:eastAsia="Calibri"/>
          <w:szCs w:val="24"/>
        </w:rPr>
      </w:pPr>
      <w:r>
        <w:rPr>
          <w:rFonts w:eastAsia="Calibri"/>
          <w:szCs w:val="24"/>
        </w:rPr>
        <w:t>It is important to note that t</w:t>
      </w:r>
      <w:r w:rsidR="00C97EA5" w:rsidRPr="00C97EA5">
        <w:rPr>
          <w:rFonts w:eastAsia="Calibri"/>
          <w:szCs w:val="24"/>
        </w:rPr>
        <w:t>he ICIS RNC program will continue to generate an “Unknown” compliance status when either "Permit Compliance Tracking Status" or "DMR Non-Receipt" is set to “Off." ECHO and ECHO Gov will continue to show compliance status</w:t>
      </w:r>
      <w:r w:rsidR="00310509">
        <w:rPr>
          <w:rFonts w:eastAsia="Calibri"/>
          <w:szCs w:val="24"/>
        </w:rPr>
        <w:t xml:space="preserve"> for these permittees</w:t>
      </w:r>
      <w:r w:rsidR="00C97EA5" w:rsidRPr="00C97EA5">
        <w:rPr>
          <w:rFonts w:eastAsia="Calibri"/>
          <w:szCs w:val="24"/>
        </w:rPr>
        <w:t xml:space="preserve"> (</w:t>
      </w:r>
      <w:r w:rsidR="00C97EA5">
        <w:rPr>
          <w:rFonts w:eastAsia="Calibri"/>
          <w:szCs w:val="24"/>
        </w:rPr>
        <w:t>including the</w:t>
      </w:r>
      <w:r w:rsidR="00310509">
        <w:rPr>
          <w:rFonts w:eastAsia="Calibri"/>
          <w:szCs w:val="24"/>
        </w:rPr>
        <w:t>ir</w:t>
      </w:r>
      <w:r w:rsidR="00C97EA5">
        <w:rPr>
          <w:rFonts w:eastAsia="Calibri"/>
          <w:szCs w:val="24"/>
        </w:rPr>
        <w:t xml:space="preserve"> “Unknown” compliance status</w:t>
      </w:r>
      <w:r w:rsidR="00C97EA5" w:rsidRPr="00C97EA5">
        <w:rPr>
          <w:rFonts w:eastAsia="Calibri"/>
          <w:szCs w:val="24"/>
        </w:rPr>
        <w:t>).</w:t>
      </w:r>
      <w:r w:rsidR="00CE7F0E">
        <w:rPr>
          <w:rFonts w:eastAsia="Calibri"/>
          <w:szCs w:val="24"/>
        </w:rPr>
        <w:t xml:space="preserve"> </w:t>
      </w:r>
    </w:p>
    <w:p w14:paraId="2B8AFF1D" w14:textId="77777777" w:rsidR="00C97EA5" w:rsidRDefault="00C97EA5" w:rsidP="00C97EA5">
      <w:pPr>
        <w:rPr>
          <w:rFonts w:eastAsia="Calibri"/>
          <w:szCs w:val="24"/>
        </w:rPr>
      </w:pPr>
    </w:p>
    <w:p w14:paraId="0E69BB01" w14:textId="77777777" w:rsidR="008166DD" w:rsidRPr="008166DD" w:rsidRDefault="008166DD" w:rsidP="00C97EA5">
      <w:pPr>
        <w:rPr>
          <w:rFonts w:eastAsia="Calibri"/>
          <w:szCs w:val="24"/>
          <w:u w:val="single"/>
        </w:rPr>
      </w:pPr>
      <w:r w:rsidRPr="008166DD">
        <w:rPr>
          <w:rFonts w:eastAsia="Calibri"/>
          <w:szCs w:val="24"/>
          <w:u w:val="single"/>
        </w:rPr>
        <w:t>Permit Major/Minor Status Indicator Data Element</w:t>
      </w:r>
    </w:p>
    <w:p w14:paraId="0937C313" w14:textId="77777777" w:rsidR="008166DD" w:rsidRDefault="008166DD" w:rsidP="00C97EA5">
      <w:pPr>
        <w:rPr>
          <w:rFonts w:eastAsia="Calibri"/>
          <w:szCs w:val="24"/>
        </w:rPr>
      </w:pPr>
    </w:p>
    <w:p w14:paraId="3B435BBC" w14:textId="1DF89F38" w:rsidR="002D075C" w:rsidRDefault="008821DC" w:rsidP="002D075C">
      <w:pPr>
        <w:ind w:firstLine="720"/>
        <w:rPr>
          <w:rFonts w:eastAsia="Calibri"/>
          <w:szCs w:val="24"/>
        </w:rPr>
      </w:pPr>
      <w:r w:rsidRPr="008821DC">
        <w:rPr>
          <w:rFonts w:eastAsia="Calibri"/>
          <w:szCs w:val="24"/>
        </w:rPr>
        <w:t xml:space="preserve">EPA has defined and used the term “major” permittee in </w:t>
      </w:r>
      <w:r w:rsidR="00310509">
        <w:rPr>
          <w:rFonts w:eastAsia="Calibri"/>
          <w:szCs w:val="24"/>
        </w:rPr>
        <w:t>many</w:t>
      </w:r>
      <w:r w:rsidRPr="008821DC">
        <w:rPr>
          <w:rFonts w:eastAsia="Calibri"/>
          <w:szCs w:val="24"/>
        </w:rPr>
        <w:t xml:space="preserve"> aspects </w:t>
      </w:r>
      <w:r w:rsidR="00310509">
        <w:rPr>
          <w:rFonts w:eastAsia="Calibri"/>
          <w:szCs w:val="24"/>
        </w:rPr>
        <w:t>of</w:t>
      </w:r>
      <w:r w:rsidR="00310509" w:rsidRPr="008821DC">
        <w:rPr>
          <w:rFonts w:eastAsia="Calibri"/>
          <w:szCs w:val="24"/>
        </w:rPr>
        <w:t xml:space="preserve"> </w:t>
      </w:r>
      <w:r w:rsidRPr="008821DC">
        <w:rPr>
          <w:rFonts w:eastAsia="Calibri"/>
          <w:szCs w:val="24"/>
        </w:rPr>
        <w:t xml:space="preserve">the NPDES permitting, compliance monitoring and reporting, data sharing, and enforcement programs. </w:t>
      </w:r>
      <w:r w:rsidR="00EF09D3">
        <w:rPr>
          <w:rFonts w:eastAsia="Calibri"/>
          <w:szCs w:val="24"/>
        </w:rPr>
        <w:t>T</w:t>
      </w:r>
      <w:r w:rsidRPr="008821DC">
        <w:rPr>
          <w:rFonts w:eastAsia="Calibri"/>
          <w:szCs w:val="24"/>
        </w:rPr>
        <w:t>he final rule did not change how EPA’s NPDES regulations define this term. See 40 CFR 122.2</w:t>
      </w:r>
      <w:r>
        <w:rPr>
          <w:rFonts w:eastAsia="Calibri"/>
          <w:szCs w:val="24"/>
        </w:rPr>
        <w:t xml:space="preserve"> (“</w:t>
      </w:r>
      <w:r w:rsidRPr="008821DC">
        <w:rPr>
          <w:rFonts w:eastAsia="Calibri"/>
          <w:szCs w:val="24"/>
        </w:rPr>
        <w:t>Major facility means any NPDES “facility or activity” classified as such by the Regional Administrator, or, in the case of “approved State programs,” the Regional Administrator in conjunction with the State Director</w:t>
      </w:r>
      <w:r>
        <w:rPr>
          <w:rFonts w:eastAsia="Calibri"/>
          <w:szCs w:val="24"/>
        </w:rPr>
        <w:t>”)</w:t>
      </w:r>
      <w:r w:rsidRPr="008821DC">
        <w:rPr>
          <w:rFonts w:eastAsia="Calibri"/>
          <w:szCs w:val="24"/>
        </w:rPr>
        <w:t xml:space="preserve">. EPA is </w:t>
      </w:r>
      <w:r w:rsidR="00310509">
        <w:rPr>
          <w:rFonts w:eastAsia="Calibri"/>
          <w:szCs w:val="24"/>
        </w:rPr>
        <w:t xml:space="preserve">now </w:t>
      </w:r>
      <w:r w:rsidRPr="008821DC">
        <w:rPr>
          <w:rFonts w:eastAsia="Calibri"/>
          <w:szCs w:val="24"/>
        </w:rPr>
        <w:t xml:space="preserve">proposing to allow both Regions and states to directly adjust the “Permit Major/Minor Status Indicator” data element as </w:t>
      </w:r>
      <w:r w:rsidR="00EF09D3">
        <w:rPr>
          <w:rFonts w:eastAsia="Calibri"/>
          <w:szCs w:val="24"/>
        </w:rPr>
        <w:t>opposed to only allowing EPA Headquarters staff to be able to modify this data element. The ability to modify this data element was raised by authorized NPDES programs during development of the final rule and EPA adopted this recommendation in the final rule.</w:t>
      </w:r>
    </w:p>
    <w:p w14:paraId="22231F1A" w14:textId="77777777" w:rsidR="002D075C" w:rsidRDefault="002D075C" w:rsidP="002D075C">
      <w:pPr>
        <w:ind w:firstLine="720"/>
        <w:rPr>
          <w:rFonts w:eastAsia="Calibri"/>
          <w:szCs w:val="24"/>
        </w:rPr>
      </w:pPr>
    </w:p>
    <w:p w14:paraId="386D0030" w14:textId="1C1211BE" w:rsidR="008166DD" w:rsidRDefault="00E958FE" w:rsidP="002D075C">
      <w:pPr>
        <w:ind w:firstLine="720"/>
        <w:rPr>
          <w:rFonts w:eastAsia="Calibri"/>
          <w:szCs w:val="24"/>
        </w:rPr>
      </w:pPr>
      <w:r>
        <w:rPr>
          <w:rFonts w:eastAsia="Calibri"/>
          <w:szCs w:val="24"/>
        </w:rPr>
        <w:t>Please</w:t>
      </w:r>
      <w:r w:rsidR="002D075C">
        <w:rPr>
          <w:rFonts w:eastAsia="Calibri"/>
          <w:szCs w:val="24"/>
        </w:rPr>
        <w:t xml:space="preserve"> note that authorized NPDES programs</w:t>
      </w:r>
      <w:r w:rsidR="008166DD" w:rsidRPr="008166DD">
        <w:rPr>
          <w:rFonts w:eastAsia="Calibri"/>
          <w:szCs w:val="24"/>
        </w:rPr>
        <w:t xml:space="preserve"> will need to first coordinate with their </w:t>
      </w:r>
      <w:r w:rsidR="002D075C">
        <w:rPr>
          <w:rFonts w:eastAsia="Calibri"/>
          <w:szCs w:val="24"/>
        </w:rPr>
        <w:t xml:space="preserve">EPA </w:t>
      </w:r>
      <w:r w:rsidR="008166DD" w:rsidRPr="008166DD">
        <w:rPr>
          <w:rFonts w:eastAsia="Calibri"/>
          <w:szCs w:val="24"/>
        </w:rPr>
        <w:t xml:space="preserve">Region before making any changes to the “Permit Major/Minor Status Indicator” data element. This is consistent with EPA regulations and past practice as the “major” designation is determined by the “Regional Administrator </w:t>
      </w:r>
      <w:r w:rsidR="008166DD" w:rsidRPr="008821DC">
        <w:rPr>
          <w:rFonts w:eastAsia="Calibri"/>
          <w:szCs w:val="24"/>
          <w:u w:val="single"/>
        </w:rPr>
        <w:t>in conjunction with</w:t>
      </w:r>
      <w:r w:rsidR="008166DD" w:rsidRPr="008166DD">
        <w:rPr>
          <w:rFonts w:eastAsia="Calibri"/>
          <w:szCs w:val="24"/>
        </w:rPr>
        <w:t xml:space="preserve"> the State Director” [emphasis added]</w:t>
      </w:r>
      <w:r w:rsidR="00896ED6">
        <w:rPr>
          <w:rFonts w:eastAsia="Calibri"/>
          <w:szCs w:val="24"/>
        </w:rPr>
        <w:t>.</w:t>
      </w:r>
      <w:r w:rsidR="008821DC">
        <w:rPr>
          <w:rFonts w:eastAsia="Calibri"/>
          <w:szCs w:val="24"/>
        </w:rPr>
        <w:t xml:space="preserve"> </w:t>
      </w:r>
      <w:r w:rsidR="008821DC" w:rsidRPr="008821DC">
        <w:rPr>
          <w:rFonts w:eastAsia="Calibri"/>
          <w:szCs w:val="24"/>
        </w:rPr>
        <w:t>Each EPA Region will decide how to manage this coordination</w:t>
      </w:r>
      <w:r w:rsidR="00896ED6">
        <w:rPr>
          <w:rFonts w:eastAsia="Calibri"/>
          <w:szCs w:val="24"/>
        </w:rPr>
        <w:t>.</w:t>
      </w:r>
      <w:r w:rsidR="002D075C">
        <w:rPr>
          <w:rFonts w:eastAsia="Calibri"/>
          <w:szCs w:val="24"/>
        </w:rPr>
        <w:t xml:space="preserve"> EPA will use the “</w:t>
      </w:r>
      <w:r w:rsidR="002D075C" w:rsidRPr="002D075C">
        <w:rPr>
          <w:rFonts w:eastAsia="Calibri"/>
          <w:szCs w:val="24"/>
        </w:rPr>
        <w:t>Permit Major/Minor Status Start Date</w:t>
      </w:r>
      <w:r w:rsidR="002D075C">
        <w:rPr>
          <w:rFonts w:eastAsia="Calibri"/>
          <w:szCs w:val="24"/>
        </w:rPr>
        <w:t xml:space="preserve">” </w:t>
      </w:r>
      <w:r w:rsidR="00896ED6">
        <w:rPr>
          <w:rFonts w:eastAsia="Calibri"/>
          <w:szCs w:val="24"/>
        </w:rPr>
        <w:t xml:space="preserve">in ICIS-NPDES </w:t>
      </w:r>
      <w:r w:rsidR="002D075C">
        <w:rPr>
          <w:rFonts w:eastAsia="Calibri"/>
          <w:szCs w:val="24"/>
        </w:rPr>
        <w:t>to track each change in this data element.</w:t>
      </w:r>
    </w:p>
    <w:p w14:paraId="48ACFFD0" w14:textId="77777777" w:rsidR="008821DC" w:rsidRDefault="008821DC" w:rsidP="008166DD">
      <w:pPr>
        <w:rPr>
          <w:rFonts w:eastAsia="Calibri"/>
          <w:szCs w:val="24"/>
        </w:rPr>
      </w:pPr>
    </w:p>
    <w:p w14:paraId="2FDEA841" w14:textId="77777777" w:rsidR="008821DC" w:rsidRPr="008821DC" w:rsidRDefault="008821DC" w:rsidP="008166DD">
      <w:pPr>
        <w:rPr>
          <w:rFonts w:eastAsia="Calibri"/>
          <w:szCs w:val="24"/>
          <w:u w:val="single"/>
        </w:rPr>
      </w:pPr>
      <w:r>
        <w:rPr>
          <w:rFonts w:eastAsia="Calibri"/>
          <w:szCs w:val="24"/>
          <w:u w:val="single"/>
        </w:rPr>
        <w:t>Roles and Responsibilities</w:t>
      </w:r>
    </w:p>
    <w:p w14:paraId="0BE9895A" w14:textId="77777777" w:rsidR="008166DD" w:rsidRDefault="008166DD" w:rsidP="00C97EA5">
      <w:pPr>
        <w:rPr>
          <w:rFonts w:eastAsia="Calibri"/>
          <w:szCs w:val="24"/>
        </w:rPr>
      </w:pPr>
    </w:p>
    <w:p w14:paraId="1946FCF7" w14:textId="315A28DA" w:rsidR="00BC1166" w:rsidRDefault="00896ED6" w:rsidP="002D075C">
      <w:pPr>
        <w:widowControl w:val="0"/>
        <w:ind w:firstLine="720"/>
      </w:pPr>
      <w:r>
        <w:t>The</w:t>
      </w:r>
      <w:r w:rsidR="008166DD" w:rsidRPr="008166DD">
        <w:t xml:space="preserve"> use of these tracking data elements </w:t>
      </w:r>
      <w:r w:rsidR="008821DC">
        <w:t xml:space="preserve">and the </w:t>
      </w:r>
      <w:r>
        <w:t xml:space="preserve">new </w:t>
      </w:r>
      <w:r w:rsidR="008821DC">
        <w:t xml:space="preserve">ability of </w:t>
      </w:r>
      <w:r w:rsidR="002D075C">
        <w:t>authorized NPDES programs</w:t>
      </w:r>
      <w:r w:rsidR="008821DC">
        <w:t xml:space="preserve"> to directly adjust the </w:t>
      </w:r>
      <w:r w:rsidR="002D075C">
        <w:t>“</w:t>
      </w:r>
      <w:r w:rsidR="008821DC" w:rsidRPr="008821DC">
        <w:t xml:space="preserve">Permit Major/Minor Status Indicator” data element </w:t>
      </w:r>
      <w:r w:rsidR="008166DD" w:rsidRPr="008166DD">
        <w:t xml:space="preserve">should not be used to inhibit EPA’s ability to </w:t>
      </w:r>
      <w:r w:rsidR="008821DC">
        <w:t xml:space="preserve">perform its oversight duties, which includes </w:t>
      </w:r>
      <w:r w:rsidR="008166DD" w:rsidRPr="008166DD">
        <w:t>track</w:t>
      </w:r>
      <w:r w:rsidR="008821DC">
        <w:t>ing</w:t>
      </w:r>
      <w:r w:rsidR="008166DD" w:rsidRPr="008166DD">
        <w:t xml:space="preserve"> progress on implementing the </w:t>
      </w:r>
      <w:r w:rsidR="008821DC">
        <w:t>final rule</w:t>
      </w:r>
      <w:r w:rsidR="008166DD" w:rsidRPr="008166DD">
        <w:t xml:space="preserve">. EPA will be </w:t>
      </w:r>
      <w:r>
        <w:t>evaluating</w:t>
      </w:r>
      <w:r w:rsidR="008166DD" w:rsidRPr="008166DD">
        <w:t xml:space="preserve"> changes in these data elements over time to track adherence to EPA’s data management </w:t>
      </w:r>
      <w:r>
        <w:t>guidance</w:t>
      </w:r>
      <w:r w:rsidRPr="008166DD">
        <w:t xml:space="preserve"> </w:t>
      </w:r>
      <w:r w:rsidR="008166DD" w:rsidRPr="008166DD">
        <w:t>for these data element</w:t>
      </w:r>
      <w:r w:rsidR="00CE7F0E">
        <w:t>s</w:t>
      </w:r>
      <w:r w:rsidR="008166DD" w:rsidRPr="008166DD">
        <w:t>. Although it</w:t>
      </w:r>
      <w:r w:rsidR="008821DC">
        <w:t xml:space="preserve"> is </w:t>
      </w:r>
      <w:r w:rsidR="00CE7F0E">
        <w:t xml:space="preserve">not </w:t>
      </w:r>
      <w:r w:rsidR="008821DC">
        <w:t xml:space="preserve">expected, EPA may limit the roles </w:t>
      </w:r>
      <w:r w:rsidR="00452A20">
        <w:t xml:space="preserve">of ICIS-NPDES users </w:t>
      </w:r>
      <w:r w:rsidR="008166DD" w:rsidRPr="008166DD">
        <w:t>for one o</w:t>
      </w:r>
      <w:r w:rsidR="008821DC">
        <w:t xml:space="preserve">r more </w:t>
      </w:r>
      <w:r w:rsidR="002D075C" w:rsidRPr="002D075C">
        <w:t>authorized NPDES programs</w:t>
      </w:r>
      <w:r w:rsidR="008821DC">
        <w:t xml:space="preserve"> that are unable to follow this guidance.</w:t>
      </w:r>
      <w:r w:rsidR="002D075C">
        <w:t xml:space="preserve"> This </w:t>
      </w:r>
      <w:r>
        <w:t xml:space="preserve">would </w:t>
      </w:r>
      <w:r w:rsidR="002D075C">
        <w:t xml:space="preserve">limit or prevent </w:t>
      </w:r>
      <w:r>
        <w:t xml:space="preserve">certain </w:t>
      </w:r>
      <w:r w:rsidR="002D075C" w:rsidRPr="002D075C">
        <w:t>authorized NPDES programs</w:t>
      </w:r>
      <w:r w:rsidR="002D075C">
        <w:t xml:space="preserve"> from directly managing these data elements.</w:t>
      </w:r>
    </w:p>
    <w:p w14:paraId="53635D35" w14:textId="77777777" w:rsidR="008821DC" w:rsidRDefault="008821DC" w:rsidP="00BC1166">
      <w:pPr>
        <w:widowControl w:val="0"/>
      </w:pPr>
    </w:p>
    <w:p w14:paraId="25FB8D0D" w14:textId="6C4A735A" w:rsidR="002D075C" w:rsidRDefault="008821DC" w:rsidP="002D075C">
      <w:pPr>
        <w:widowControl w:val="0"/>
        <w:ind w:firstLine="720"/>
      </w:pPr>
      <w:r>
        <w:t xml:space="preserve">The </w:t>
      </w:r>
      <w:r w:rsidRPr="008821DC">
        <w:t>‘NPDES Electronic Reporting Readiness and Data Completeness Dashboard’</w:t>
      </w:r>
      <w:r>
        <w:t xml:space="preserve"> </w:t>
      </w:r>
      <w:r w:rsidR="00896ED6">
        <w:t>(</w:t>
      </w:r>
      <w:r w:rsidR="007160FB">
        <w:t xml:space="preserve">soon to </w:t>
      </w:r>
      <w:r w:rsidR="007160FB">
        <w:lastRenderedPageBreak/>
        <w:t xml:space="preserve">be published </w:t>
      </w:r>
      <w:r w:rsidR="00896ED6">
        <w:t>in ECHO</w:t>
      </w:r>
      <w:r w:rsidR="00EF09D3">
        <w:t xml:space="preserve"> and ECHO Gov</w:t>
      </w:r>
      <w:r w:rsidR="00896ED6">
        <w:t xml:space="preserve">) </w:t>
      </w:r>
      <w:r w:rsidR="007160FB">
        <w:t xml:space="preserve">will </w:t>
      </w:r>
      <w:r>
        <w:t xml:space="preserve">provide an easy method for EPA and authorized NPDES programs to </w:t>
      </w:r>
      <w:r w:rsidR="002D075C">
        <w:t>measure adherence to this guidance. Use of this dashboard will enable EPA and states to have productive discussions on EPA’s data sharing regulations and policy.</w:t>
      </w:r>
    </w:p>
    <w:p w14:paraId="5CBEA9FE" w14:textId="6B7819A5" w:rsidR="002D075C" w:rsidRDefault="002D075C"/>
    <w:p w14:paraId="198C6D03" w14:textId="77777777" w:rsidR="002D075C" w:rsidRDefault="002D075C" w:rsidP="002D075C">
      <w:pPr>
        <w:widowControl w:val="0"/>
        <w:ind w:firstLine="720"/>
      </w:pPr>
      <w:r>
        <w:t xml:space="preserve">Please contact my staff, Carey Johnston, (202) 566-1014, </w:t>
      </w:r>
      <w:hyperlink r:id="rId10" w:history="1">
        <w:r w:rsidRPr="00377992">
          <w:rPr>
            <w:rStyle w:val="Hyperlink"/>
          </w:rPr>
          <w:t>johnston.carey@epa.gov</w:t>
        </w:r>
      </w:hyperlink>
      <w:r>
        <w:t>, if you have any questions about this memorandum.</w:t>
      </w:r>
    </w:p>
    <w:p w14:paraId="3B3EC99B" w14:textId="77777777" w:rsidR="0084080B" w:rsidRDefault="0084080B" w:rsidP="00BC1166">
      <w:pPr>
        <w:widowControl w:val="0"/>
      </w:pPr>
      <w:r>
        <w:tab/>
      </w:r>
      <w:r>
        <w:tab/>
      </w:r>
    </w:p>
    <w:p w14:paraId="72C91E04" w14:textId="77777777" w:rsidR="002A7AE6" w:rsidRDefault="0084080B">
      <w:pPr>
        <w:widowControl w:val="0"/>
      </w:pPr>
      <w:r>
        <w:tab/>
      </w:r>
      <w:r>
        <w:tab/>
      </w:r>
      <w:r>
        <w:tab/>
      </w:r>
      <w:r>
        <w:tab/>
      </w:r>
      <w:r>
        <w:tab/>
      </w:r>
      <w:r>
        <w:tab/>
      </w:r>
    </w:p>
    <w:p w14:paraId="28917012" w14:textId="77777777" w:rsidR="002A7AE6" w:rsidRDefault="002A7AE6">
      <w:pPr>
        <w:widowControl w:val="0"/>
      </w:pPr>
    </w:p>
    <w:p w14:paraId="6E853CAD" w14:textId="77777777" w:rsidR="002A7AE6" w:rsidRDefault="0084080B" w:rsidP="002A7AE6">
      <w:pPr>
        <w:widowControl w:val="0"/>
        <w:ind w:left="1440" w:firstLine="720"/>
      </w:pPr>
      <w:r>
        <w:t>Sincerely,</w:t>
      </w:r>
    </w:p>
    <w:p w14:paraId="0875A666" w14:textId="77777777" w:rsidR="002A7AE6" w:rsidRDefault="002A7AE6" w:rsidP="002A7AE6">
      <w:pPr>
        <w:widowControl w:val="0"/>
        <w:ind w:left="1440" w:firstLine="720"/>
      </w:pPr>
    </w:p>
    <w:p w14:paraId="247D39C0" w14:textId="77777777" w:rsidR="002A7AE6" w:rsidRDefault="002A7AE6" w:rsidP="002A7AE6">
      <w:pPr>
        <w:widowControl w:val="0"/>
        <w:ind w:left="1440" w:firstLine="720"/>
      </w:pPr>
    </w:p>
    <w:p w14:paraId="731D320B" w14:textId="77777777" w:rsidR="002D075C" w:rsidRDefault="002D075C" w:rsidP="002A7AE6">
      <w:pPr>
        <w:widowControl w:val="0"/>
        <w:ind w:left="1440" w:firstLine="720"/>
      </w:pPr>
    </w:p>
    <w:p w14:paraId="4215D226" w14:textId="77777777" w:rsidR="002D075C" w:rsidRDefault="002D075C" w:rsidP="002A7AE6">
      <w:pPr>
        <w:widowControl w:val="0"/>
        <w:ind w:left="1440" w:firstLine="720"/>
      </w:pPr>
    </w:p>
    <w:p w14:paraId="5A2BC2E9" w14:textId="77777777" w:rsidR="00BC1166" w:rsidRDefault="002A7AE6" w:rsidP="00BC1166">
      <w:pPr>
        <w:widowControl w:val="0"/>
        <w:ind w:left="1440" w:firstLine="720"/>
      </w:pPr>
      <w:r>
        <w:t xml:space="preserve">David Hindin, </w:t>
      </w:r>
      <w:r w:rsidR="00864D51">
        <w:t>Director</w:t>
      </w:r>
    </w:p>
    <w:p w14:paraId="5BE14CF1" w14:textId="77777777" w:rsidR="0084080B" w:rsidRDefault="007F32AF" w:rsidP="00BC1166">
      <w:pPr>
        <w:widowControl w:val="0"/>
        <w:ind w:left="1440" w:firstLine="720"/>
      </w:pPr>
      <w:r>
        <w:t>Office of Compliance</w:t>
      </w:r>
    </w:p>
    <w:p w14:paraId="2D86CB87" w14:textId="77777777" w:rsidR="00F7731B" w:rsidRDefault="00F7731B" w:rsidP="00BC1166">
      <w:pPr>
        <w:widowControl w:val="0"/>
        <w:ind w:left="1440" w:firstLine="720"/>
      </w:pPr>
    </w:p>
    <w:p w14:paraId="273AB829" w14:textId="77777777" w:rsidR="00F7731B" w:rsidRDefault="00F7731B" w:rsidP="00BC1166">
      <w:pPr>
        <w:widowControl w:val="0"/>
        <w:ind w:left="1440" w:firstLine="720"/>
      </w:pPr>
    </w:p>
    <w:p w14:paraId="128C0D83" w14:textId="6DD592FF" w:rsidR="00F7731B" w:rsidRDefault="00F7731B" w:rsidP="00F7731B">
      <w:pPr>
        <w:widowControl w:val="0"/>
      </w:pPr>
      <w:r>
        <w:t xml:space="preserve">Cc: </w:t>
      </w:r>
      <w:r>
        <w:tab/>
        <w:t>John Dombrowski</w:t>
      </w:r>
    </w:p>
    <w:p w14:paraId="52FBCEB3" w14:textId="7A4B4304" w:rsidR="00F7731B" w:rsidRDefault="00F7731B" w:rsidP="00F7731B">
      <w:pPr>
        <w:widowControl w:val="0"/>
        <w:ind w:firstLine="720"/>
      </w:pPr>
      <w:r>
        <w:t xml:space="preserve">Ed Messina </w:t>
      </w:r>
    </w:p>
    <w:p w14:paraId="12B7C6A1" w14:textId="4F382638" w:rsidR="00F7731B" w:rsidRDefault="00C75501" w:rsidP="00C75501">
      <w:pPr>
        <w:widowControl w:val="0"/>
        <w:ind w:firstLine="720"/>
      </w:pPr>
      <w:r>
        <w:t>Mark Pollins</w:t>
      </w:r>
    </w:p>
    <w:sectPr w:rsidR="00F7731B" w:rsidSect="00E6772F">
      <w:headerReference w:type="even" r:id="rId11"/>
      <w:headerReference w:type="default" r:id="rId12"/>
      <w:endnotePr>
        <w:numFmt w:val="lowerLetter"/>
      </w:endnotePr>
      <w:pgSz w:w="12240" w:h="15840"/>
      <w:pgMar w:top="1296" w:right="1296" w:bottom="1296" w:left="1296"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3637E" w14:textId="77777777" w:rsidR="00E27A7E" w:rsidRDefault="00E27A7E" w:rsidP="008166DD">
      <w:r>
        <w:separator/>
      </w:r>
    </w:p>
  </w:endnote>
  <w:endnote w:type="continuationSeparator" w:id="0">
    <w:p w14:paraId="5A62FE83" w14:textId="77777777" w:rsidR="00E27A7E" w:rsidRDefault="00E27A7E" w:rsidP="0081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1329" w14:textId="77777777" w:rsidR="00E27A7E" w:rsidRDefault="00E27A7E" w:rsidP="008166DD">
      <w:r>
        <w:separator/>
      </w:r>
    </w:p>
  </w:footnote>
  <w:footnote w:type="continuationSeparator" w:id="0">
    <w:p w14:paraId="4453F0F8" w14:textId="77777777" w:rsidR="00E27A7E" w:rsidRDefault="00E27A7E" w:rsidP="00816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F491" w14:textId="01030233" w:rsidR="0098330E" w:rsidRPr="0098330E" w:rsidRDefault="0098330E" w:rsidP="0098330E">
    <w:pPr>
      <w:pStyle w:val="Header"/>
      <w:jc w:val="center"/>
      <w:rPr>
        <w:b/>
      </w:rPr>
    </w:pPr>
    <w:r w:rsidRPr="0098330E">
      <w:rPr>
        <w:b/>
      </w:rPr>
      <w:t>DRAFT FOR EPA REGIONAL AND STATE COMMENT ONLY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60E" w14:textId="1EDBFEDD" w:rsidR="0098330E" w:rsidRPr="0098330E" w:rsidRDefault="0098330E" w:rsidP="0098330E">
    <w:pPr>
      <w:pStyle w:val="Header"/>
      <w:jc w:val="center"/>
      <w:rPr>
        <w:b/>
      </w:rPr>
    </w:pPr>
    <w:r w:rsidRPr="0098330E">
      <w:rPr>
        <w:b/>
      </w:rPr>
      <w:t>DRAFT FOR EPA REGIONAL AND STATE COMMENT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5751C"/>
    <w:multiLevelType w:val="hybridMultilevel"/>
    <w:tmpl w:val="661CCED8"/>
    <w:lvl w:ilvl="0" w:tplc="F4F04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1570C"/>
    <w:multiLevelType w:val="hybridMultilevel"/>
    <w:tmpl w:val="5852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57"/>
    <w:rsid w:val="0000193B"/>
    <w:rsid w:val="00035057"/>
    <w:rsid w:val="000856CA"/>
    <w:rsid w:val="00086485"/>
    <w:rsid w:val="0008770B"/>
    <w:rsid w:val="002A7AE6"/>
    <w:rsid w:val="002C5BA2"/>
    <w:rsid w:val="002D075C"/>
    <w:rsid w:val="002D4B4B"/>
    <w:rsid w:val="00301601"/>
    <w:rsid w:val="00310509"/>
    <w:rsid w:val="003418B7"/>
    <w:rsid w:val="003F7576"/>
    <w:rsid w:val="0041518A"/>
    <w:rsid w:val="00452A20"/>
    <w:rsid w:val="00465C30"/>
    <w:rsid w:val="004869CC"/>
    <w:rsid w:val="005624C8"/>
    <w:rsid w:val="00571257"/>
    <w:rsid w:val="00586A04"/>
    <w:rsid w:val="006C0130"/>
    <w:rsid w:val="006E7DB6"/>
    <w:rsid w:val="006F6C61"/>
    <w:rsid w:val="007160FB"/>
    <w:rsid w:val="00717971"/>
    <w:rsid w:val="00755025"/>
    <w:rsid w:val="007A3BB8"/>
    <w:rsid w:val="007B6469"/>
    <w:rsid w:val="007F32AF"/>
    <w:rsid w:val="008166DD"/>
    <w:rsid w:val="0084080B"/>
    <w:rsid w:val="00864D51"/>
    <w:rsid w:val="00867659"/>
    <w:rsid w:val="008821DC"/>
    <w:rsid w:val="00896ED6"/>
    <w:rsid w:val="00926252"/>
    <w:rsid w:val="00976BC3"/>
    <w:rsid w:val="009806D1"/>
    <w:rsid w:val="0098330E"/>
    <w:rsid w:val="0098425A"/>
    <w:rsid w:val="009C5BC9"/>
    <w:rsid w:val="00A07A54"/>
    <w:rsid w:val="00A555D8"/>
    <w:rsid w:val="00A64DF5"/>
    <w:rsid w:val="00AF3090"/>
    <w:rsid w:val="00B06D37"/>
    <w:rsid w:val="00B53659"/>
    <w:rsid w:val="00BB0FCF"/>
    <w:rsid w:val="00BC1166"/>
    <w:rsid w:val="00BE2A27"/>
    <w:rsid w:val="00C160B7"/>
    <w:rsid w:val="00C75501"/>
    <w:rsid w:val="00C97EA5"/>
    <w:rsid w:val="00CB5393"/>
    <w:rsid w:val="00CE7F0E"/>
    <w:rsid w:val="00DD4274"/>
    <w:rsid w:val="00E27A7E"/>
    <w:rsid w:val="00E6772F"/>
    <w:rsid w:val="00E958FE"/>
    <w:rsid w:val="00EF09D3"/>
    <w:rsid w:val="00F27B6E"/>
    <w:rsid w:val="00F7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BAD5FD2"/>
  <w15:docId w15:val="{D61B1399-E1E0-4821-A22E-F45DA9AB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BA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7A54"/>
    <w:rPr>
      <w:rFonts w:ascii="Tahoma" w:hAnsi="Tahoma" w:cs="Tahoma"/>
      <w:sz w:val="16"/>
      <w:szCs w:val="16"/>
    </w:rPr>
  </w:style>
  <w:style w:type="paragraph" w:styleId="ListParagraph">
    <w:name w:val="List Paragraph"/>
    <w:basedOn w:val="Normal"/>
    <w:uiPriority w:val="34"/>
    <w:qFormat/>
    <w:rsid w:val="00C97EA5"/>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semiHidden/>
    <w:unhideWhenUsed/>
    <w:rsid w:val="008166DD"/>
    <w:rPr>
      <w:sz w:val="20"/>
    </w:rPr>
  </w:style>
  <w:style w:type="character" w:customStyle="1" w:styleId="FootnoteTextChar">
    <w:name w:val="Footnote Text Char"/>
    <w:basedOn w:val="DefaultParagraphFont"/>
    <w:link w:val="FootnoteText"/>
    <w:semiHidden/>
    <w:rsid w:val="008166DD"/>
  </w:style>
  <w:style w:type="character" w:styleId="FootnoteReference">
    <w:name w:val="footnote reference"/>
    <w:basedOn w:val="DefaultParagraphFont"/>
    <w:semiHidden/>
    <w:unhideWhenUsed/>
    <w:rsid w:val="008166DD"/>
    <w:rPr>
      <w:vertAlign w:val="superscript"/>
    </w:rPr>
  </w:style>
  <w:style w:type="character" w:styleId="Hyperlink">
    <w:name w:val="Hyperlink"/>
    <w:basedOn w:val="DefaultParagraphFont"/>
    <w:unhideWhenUsed/>
    <w:rsid w:val="002D075C"/>
    <w:rPr>
      <w:color w:val="0000FF" w:themeColor="hyperlink"/>
      <w:u w:val="single"/>
    </w:rPr>
  </w:style>
  <w:style w:type="character" w:styleId="CommentReference">
    <w:name w:val="annotation reference"/>
    <w:basedOn w:val="DefaultParagraphFont"/>
    <w:semiHidden/>
    <w:unhideWhenUsed/>
    <w:rsid w:val="0041518A"/>
    <w:rPr>
      <w:sz w:val="16"/>
      <w:szCs w:val="16"/>
    </w:rPr>
  </w:style>
  <w:style w:type="paragraph" w:styleId="CommentText">
    <w:name w:val="annotation text"/>
    <w:basedOn w:val="Normal"/>
    <w:link w:val="CommentTextChar"/>
    <w:semiHidden/>
    <w:unhideWhenUsed/>
    <w:rsid w:val="0041518A"/>
    <w:rPr>
      <w:sz w:val="20"/>
    </w:rPr>
  </w:style>
  <w:style w:type="character" w:customStyle="1" w:styleId="CommentTextChar">
    <w:name w:val="Comment Text Char"/>
    <w:basedOn w:val="DefaultParagraphFont"/>
    <w:link w:val="CommentText"/>
    <w:semiHidden/>
    <w:rsid w:val="0041518A"/>
  </w:style>
  <w:style w:type="paragraph" w:styleId="CommentSubject">
    <w:name w:val="annotation subject"/>
    <w:basedOn w:val="CommentText"/>
    <w:next w:val="CommentText"/>
    <w:link w:val="CommentSubjectChar"/>
    <w:semiHidden/>
    <w:unhideWhenUsed/>
    <w:rsid w:val="0041518A"/>
    <w:rPr>
      <w:b/>
      <w:bCs/>
    </w:rPr>
  </w:style>
  <w:style w:type="character" w:customStyle="1" w:styleId="CommentSubjectChar">
    <w:name w:val="Comment Subject Char"/>
    <w:basedOn w:val="CommentTextChar"/>
    <w:link w:val="CommentSubject"/>
    <w:semiHidden/>
    <w:rsid w:val="0041518A"/>
    <w:rPr>
      <w:b/>
      <w:bCs/>
    </w:rPr>
  </w:style>
  <w:style w:type="paragraph" w:styleId="Header">
    <w:name w:val="header"/>
    <w:basedOn w:val="Normal"/>
    <w:link w:val="HeaderChar"/>
    <w:unhideWhenUsed/>
    <w:rsid w:val="0098330E"/>
    <w:pPr>
      <w:tabs>
        <w:tab w:val="center" w:pos="4680"/>
        <w:tab w:val="right" w:pos="9360"/>
      </w:tabs>
    </w:pPr>
  </w:style>
  <w:style w:type="character" w:customStyle="1" w:styleId="HeaderChar">
    <w:name w:val="Header Char"/>
    <w:basedOn w:val="DefaultParagraphFont"/>
    <w:link w:val="Header"/>
    <w:rsid w:val="0098330E"/>
    <w:rPr>
      <w:sz w:val="24"/>
    </w:rPr>
  </w:style>
  <w:style w:type="paragraph" w:styleId="Footer">
    <w:name w:val="footer"/>
    <w:basedOn w:val="Normal"/>
    <w:link w:val="FooterChar"/>
    <w:unhideWhenUsed/>
    <w:rsid w:val="0098330E"/>
    <w:pPr>
      <w:tabs>
        <w:tab w:val="center" w:pos="4680"/>
        <w:tab w:val="right" w:pos="9360"/>
      </w:tabs>
    </w:pPr>
  </w:style>
  <w:style w:type="character" w:customStyle="1" w:styleId="FooterChar">
    <w:name w:val="Footer Char"/>
    <w:basedOn w:val="DefaultParagraphFont"/>
    <w:link w:val="Footer"/>
    <w:rsid w:val="00983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3311">
      <w:bodyDiv w:val="1"/>
      <w:marLeft w:val="0"/>
      <w:marRight w:val="0"/>
      <w:marTop w:val="0"/>
      <w:marBottom w:val="0"/>
      <w:divBdr>
        <w:top w:val="none" w:sz="0" w:space="0" w:color="auto"/>
        <w:left w:val="none" w:sz="0" w:space="0" w:color="auto"/>
        <w:bottom w:val="none" w:sz="0" w:space="0" w:color="auto"/>
        <w:right w:val="none" w:sz="0" w:space="0" w:color="auto"/>
      </w:divBdr>
      <w:divsChild>
        <w:div w:id="871308824">
          <w:marLeft w:val="446"/>
          <w:marRight w:val="0"/>
          <w:marTop w:val="65"/>
          <w:marBottom w:val="0"/>
          <w:divBdr>
            <w:top w:val="none" w:sz="0" w:space="0" w:color="auto"/>
            <w:left w:val="none" w:sz="0" w:space="0" w:color="auto"/>
            <w:bottom w:val="none" w:sz="0" w:space="0" w:color="auto"/>
            <w:right w:val="none" w:sz="0" w:space="0" w:color="auto"/>
          </w:divBdr>
        </w:div>
      </w:divsChild>
    </w:div>
    <w:div w:id="477573632">
      <w:bodyDiv w:val="1"/>
      <w:marLeft w:val="0"/>
      <w:marRight w:val="0"/>
      <w:marTop w:val="0"/>
      <w:marBottom w:val="0"/>
      <w:divBdr>
        <w:top w:val="none" w:sz="0" w:space="0" w:color="auto"/>
        <w:left w:val="none" w:sz="0" w:space="0" w:color="auto"/>
        <w:bottom w:val="none" w:sz="0" w:space="0" w:color="auto"/>
        <w:right w:val="none" w:sz="0" w:space="0" w:color="auto"/>
      </w:divBdr>
    </w:div>
    <w:div w:id="592587255">
      <w:bodyDiv w:val="1"/>
      <w:marLeft w:val="0"/>
      <w:marRight w:val="0"/>
      <w:marTop w:val="0"/>
      <w:marBottom w:val="0"/>
      <w:divBdr>
        <w:top w:val="none" w:sz="0" w:space="0" w:color="auto"/>
        <w:left w:val="none" w:sz="0" w:space="0" w:color="auto"/>
        <w:bottom w:val="none" w:sz="0" w:space="0" w:color="auto"/>
        <w:right w:val="none" w:sz="0" w:space="0" w:color="auto"/>
      </w:divBdr>
      <w:divsChild>
        <w:div w:id="1389575218">
          <w:marLeft w:val="446"/>
          <w:marRight w:val="0"/>
          <w:marTop w:val="65"/>
          <w:marBottom w:val="0"/>
          <w:divBdr>
            <w:top w:val="none" w:sz="0" w:space="0" w:color="auto"/>
            <w:left w:val="none" w:sz="0" w:space="0" w:color="auto"/>
            <w:bottom w:val="none" w:sz="0" w:space="0" w:color="auto"/>
            <w:right w:val="none" w:sz="0" w:space="0" w:color="auto"/>
          </w:divBdr>
        </w:div>
        <w:div w:id="120153886">
          <w:marLeft w:val="547"/>
          <w:marRight w:val="0"/>
          <w:marTop w:val="96"/>
          <w:marBottom w:val="0"/>
          <w:divBdr>
            <w:top w:val="none" w:sz="0" w:space="0" w:color="auto"/>
            <w:left w:val="none" w:sz="0" w:space="0" w:color="auto"/>
            <w:bottom w:val="none" w:sz="0" w:space="0" w:color="auto"/>
            <w:right w:val="none" w:sz="0" w:space="0" w:color="auto"/>
          </w:divBdr>
        </w:div>
      </w:divsChild>
    </w:div>
    <w:div w:id="777412957">
      <w:bodyDiv w:val="1"/>
      <w:marLeft w:val="0"/>
      <w:marRight w:val="0"/>
      <w:marTop w:val="0"/>
      <w:marBottom w:val="0"/>
      <w:divBdr>
        <w:top w:val="none" w:sz="0" w:space="0" w:color="auto"/>
        <w:left w:val="none" w:sz="0" w:space="0" w:color="auto"/>
        <w:bottom w:val="none" w:sz="0" w:space="0" w:color="auto"/>
        <w:right w:val="none" w:sz="0" w:space="0" w:color="auto"/>
      </w:divBdr>
      <w:divsChild>
        <w:div w:id="1074008777">
          <w:marLeft w:val="446"/>
          <w:marRight w:val="0"/>
          <w:marTop w:val="65"/>
          <w:marBottom w:val="0"/>
          <w:divBdr>
            <w:top w:val="none" w:sz="0" w:space="0" w:color="auto"/>
            <w:left w:val="none" w:sz="0" w:space="0" w:color="auto"/>
            <w:bottom w:val="none" w:sz="0" w:space="0" w:color="auto"/>
            <w:right w:val="none" w:sz="0" w:space="0" w:color="auto"/>
          </w:divBdr>
        </w:div>
      </w:divsChild>
    </w:div>
    <w:div w:id="900288927">
      <w:bodyDiv w:val="1"/>
      <w:marLeft w:val="0"/>
      <w:marRight w:val="0"/>
      <w:marTop w:val="0"/>
      <w:marBottom w:val="0"/>
      <w:divBdr>
        <w:top w:val="none" w:sz="0" w:space="0" w:color="auto"/>
        <w:left w:val="none" w:sz="0" w:space="0" w:color="auto"/>
        <w:bottom w:val="none" w:sz="0" w:space="0" w:color="auto"/>
        <w:right w:val="none" w:sz="0" w:space="0" w:color="auto"/>
      </w:divBdr>
      <w:divsChild>
        <w:div w:id="648359705">
          <w:marLeft w:val="446"/>
          <w:marRight w:val="0"/>
          <w:marTop w:val="65"/>
          <w:marBottom w:val="0"/>
          <w:divBdr>
            <w:top w:val="none" w:sz="0" w:space="0" w:color="auto"/>
            <w:left w:val="none" w:sz="0" w:space="0" w:color="auto"/>
            <w:bottom w:val="none" w:sz="0" w:space="0" w:color="auto"/>
            <w:right w:val="none" w:sz="0" w:space="0" w:color="auto"/>
          </w:divBdr>
        </w:div>
        <w:div w:id="237399821">
          <w:marLeft w:val="446"/>
          <w:marRight w:val="0"/>
          <w:marTop w:val="65"/>
          <w:marBottom w:val="0"/>
          <w:divBdr>
            <w:top w:val="none" w:sz="0" w:space="0" w:color="auto"/>
            <w:left w:val="none" w:sz="0" w:space="0" w:color="auto"/>
            <w:bottom w:val="none" w:sz="0" w:space="0" w:color="auto"/>
            <w:right w:val="none" w:sz="0" w:space="0" w:color="auto"/>
          </w:divBdr>
        </w:div>
        <w:div w:id="1136333963">
          <w:marLeft w:val="446"/>
          <w:marRight w:val="0"/>
          <w:marTop w:val="65"/>
          <w:marBottom w:val="0"/>
          <w:divBdr>
            <w:top w:val="none" w:sz="0" w:space="0" w:color="auto"/>
            <w:left w:val="none" w:sz="0" w:space="0" w:color="auto"/>
            <w:bottom w:val="none" w:sz="0" w:space="0" w:color="auto"/>
            <w:right w:val="none" w:sz="0" w:space="0" w:color="auto"/>
          </w:divBdr>
        </w:div>
      </w:divsChild>
    </w:div>
    <w:div w:id="1655179536">
      <w:bodyDiv w:val="1"/>
      <w:marLeft w:val="0"/>
      <w:marRight w:val="0"/>
      <w:marTop w:val="0"/>
      <w:marBottom w:val="0"/>
      <w:divBdr>
        <w:top w:val="none" w:sz="0" w:space="0" w:color="auto"/>
        <w:left w:val="none" w:sz="0" w:space="0" w:color="auto"/>
        <w:bottom w:val="none" w:sz="0" w:space="0" w:color="auto"/>
        <w:right w:val="none" w:sz="0" w:space="0" w:color="auto"/>
      </w:divBdr>
    </w:div>
    <w:div w:id="1859659866">
      <w:bodyDiv w:val="1"/>
      <w:marLeft w:val="0"/>
      <w:marRight w:val="0"/>
      <w:marTop w:val="0"/>
      <w:marBottom w:val="0"/>
      <w:divBdr>
        <w:top w:val="none" w:sz="0" w:space="0" w:color="auto"/>
        <w:left w:val="none" w:sz="0" w:space="0" w:color="auto"/>
        <w:bottom w:val="none" w:sz="0" w:space="0" w:color="auto"/>
        <w:right w:val="none" w:sz="0" w:space="0" w:color="auto"/>
      </w:divBdr>
      <w:divsChild>
        <w:div w:id="233979558">
          <w:marLeft w:val="446"/>
          <w:marRight w:val="0"/>
          <w:marTop w:val="65"/>
          <w:marBottom w:val="0"/>
          <w:divBdr>
            <w:top w:val="none" w:sz="0" w:space="0" w:color="auto"/>
            <w:left w:val="none" w:sz="0" w:space="0" w:color="auto"/>
            <w:bottom w:val="none" w:sz="0" w:space="0" w:color="auto"/>
            <w:right w:val="none" w:sz="0" w:space="0" w:color="auto"/>
          </w:divBdr>
        </w:div>
        <w:div w:id="401564126">
          <w:marLeft w:val="446"/>
          <w:marRight w:val="0"/>
          <w:marTop w:val="65"/>
          <w:marBottom w:val="0"/>
          <w:divBdr>
            <w:top w:val="none" w:sz="0" w:space="0" w:color="auto"/>
            <w:left w:val="none" w:sz="0" w:space="0" w:color="auto"/>
            <w:bottom w:val="none" w:sz="0" w:space="0" w:color="auto"/>
            <w:right w:val="none" w:sz="0" w:space="0" w:color="auto"/>
          </w:divBdr>
        </w:div>
        <w:div w:id="21976758">
          <w:marLeft w:val="446"/>
          <w:marRight w:val="0"/>
          <w:marTop w:val="65"/>
          <w:marBottom w:val="0"/>
          <w:divBdr>
            <w:top w:val="none" w:sz="0" w:space="0" w:color="auto"/>
            <w:left w:val="none" w:sz="0" w:space="0" w:color="auto"/>
            <w:bottom w:val="none" w:sz="0" w:space="0" w:color="auto"/>
            <w:right w:val="none" w:sz="0" w:space="0" w:color="auto"/>
          </w:divBdr>
        </w:div>
        <w:div w:id="2087148119">
          <w:marLeft w:val="446"/>
          <w:marRight w:val="0"/>
          <w:marTop w:val="65"/>
          <w:marBottom w:val="0"/>
          <w:divBdr>
            <w:top w:val="none" w:sz="0" w:space="0" w:color="auto"/>
            <w:left w:val="none" w:sz="0" w:space="0" w:color="auto"/>
            <w:bottom w:val="none" w:sz="0" w:space="0" w:color="auto"/>
            <w:right w:val="none" w:sz="0" w:space="0" w:color="auto"/>
          </w:divBdr>
        </w:div>
      </w:divsChild>
    </w:div>
    <w:div w:id="2083093973">
      <w:bodyDiv w:val="1"/>
      <w:marLeft w:val="0"/>
      <w:marRight w:val="0"/>
      <w:marTop w:val="0"/>
      <w:marBottom w:val="0"/>
      <w:divBdr>
        <w:top w:val="none" w:sz="0" w:space="0" w:color="auto"/>
        <w:left w:val="none" w:sz="0" w:space="0" w:color="auto"/>
        <w:bottom w:val="none" w:sz="0" w:space="0" w:color="auto"/>
        <w:right w:val="none" w:sz="0" w:space="0" w:color="auto"/>
      </w:divBdr>
      <w:divsChild>
        <w:div w:id="909459139">
          <w:marLeft w:val="446"/>
          <w:marRight w:val="0"/>
          <w:marTop w:val="65"/>
          <w:marBottom w:val="0"/>
          <w:divBdr>
            <w:top w:val="none" w:sz="0" w:space="0" w:color="auto"/>
            <w:left w:val="none" w:sz="0" w:space="0" w:color="auto"/>
            <w:bottom w:val="none" w:sz="0" w:space="0" w:color="auto"/>
            <w:right w:val="none" w:sz="0" w:space="0" w:color="auto"/>
          </w:divBdr>
        </w:div>
        <w:div w:id="39941445">
          <w:marLeft w:val="446"/>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hnston.carey@epa.gov" TargetMode="External"/><Relationship Id="rId4" Type="http://schemas.openxmlformats.org/officeDocument/2006/relationships/settings" Target="settings.xml"/><Relationship Id="rId9" Type="http://schemas.openxmlformats.org/officeDocument/2006/relationships/hyperlink" Target="mailto:johnston.carey@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61EE-EEDD-4E12-BB33-E92FE5B4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Johnston, U.S. EPA</dc:creator>
  <cp:keywords/>
  <cp:lastModifiedBy>Johnston, Carey</cp:lastModifiedBy>
  <cp:revision>3</cp:revision>
  <cp:lastPrinted>2013-06-12T17:36:00Z</cp:lastPrinted>
  <dcterms:created xsi:type="dcterms:W3CDTF">2016-11-02T21:51:00Z</dcterms:created>
  <dcterms:modified xsi:type="dcterms:W3CDTF">2016-11-02T21:54:00Z</dcterms:modified>
</cp:coreProperties>
</file>